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E10D78" w:rsidRDefault="002E1142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E10D78">
        <w:rPr>
          <w:rFonts w:ascii="Times New Roman" w:eastAsia="標楷體" w:hAnsi="Times New Roman"/>
          <w:sz w:val="32"/>
          <w:szCs w:val="32"/>
        </w:rPr>
        <w:t>中國信託</w:t>
      </w:r>
      <w:r w:rsidR="00A67E83" w:rsidRPr="00E10D78">
        <w:rPr>
          <w:rFonts w:ascii="Times New Roman" w:eastAsia="標楷體" w:hAnsi="Times New Roman"/>
          <w:sz w:val="32"/>
          <w:szCs w:val="32"/>
        </w:rPr>
        <w:t>的</w:t>
      </w:r>
      <w:r w:rsidRPr="00E10D78">
        <w:rPr>
          <w:rFonts w:ascii="Times New Roman" w:eastAsia="標楷體" w:hAnsi="Times New Roman"/>
          <w:sz w:val="32"/>
          <w:szCs w:val="32"/>
        </w:rPr>
        <w:t>永續經營綠色策略</w:t>
      </w:r>
    </w:p>
    <w:p w:rsidR="00A67E83" w:rsidRPr="00E10D78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第</w:t>
      </w:r>
      <w:r w:rsidR="007469EB" w:rsidRPr="00E10D78">
        <w:rPr>
          <w:rFonts w:ascii="Times New Roman" w:eastAsia="標楷體" w:hAnsi="Times New Roman"/>
          <w:sz w:val="28"/>
          <w:szCs w:val="28"/>
        </w:rPr>
        <w:t>十</w:t>
      </w:r>
      <w:r w:rsidR="002E1142" w:rsidRPr="00E10D78">
        <w:rPr>
          <w:rFonts w:ascii="Times New Roman" w:eastAsia="標楷體" w:hAnsi="Times New Roman"/>
          <w:sz w:val="28"/>
          <w:szCs w:val="28"/>
        </w:rPr>
        <w:t>三</w:t>
      </w:r>
      <w:r w:rsidR="00905B8C" w:rsidRPr="00E10D78">
        <w:rPr>
          <w:rFonts w:ascii="Times New Roman" w:eastAsia="標楷體" w:hAnsi="Times New Roman"/>
          <w:sz w:val="28"/>
          <w:szCs w:val="28"/>
        </w:rPr>
        <w:t>條</w:t>
      </w:r>
      <w:r w:rsidR="00A67E83" w:rsidRPr="00E10D78">
        <w:rPr>
          <w:rFonts w:ascii="Times New Roman" w:eastAsia="標楷體" w:hAnsi="Times New Roman"/>
          <w:sz w:val="28"/>
          <w:szCs w:val="28"/>
        </w:rPr>
        <w:t>等級：</w:t>
      </w:r>
      <w:r w:rsidR="00B92C7A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A67E83" w:rsidRPr="00E10D78" w:rsidRDefault="00A67E83" w:rsidP="00BA060C">
      <w:pPr>
        <w:jc w:val="right"/>
        <w:rPr>
          <w:rFonts w:ascii="Times New Roman" w:eastAsia="標楷體" w:hAnsi="Times New Roman"/>
        </w:rPr>
      </w:pPr>
      <w:r w:rsidRPr="00E10D78">
        <w:rPr>
          <w:rFonts w:ascii="Times New Roman" w:eastAsia="標楷體" w:hAnsi="Times New Roman"/>
        </w:rPr>
        <w:t>資料來源：</w:t>
      </w:r>
      <w:r w:rsidRPr="00E10D78">
        <w:rPr>
          <w:rFonts w:ascii="Times New Roman" w:eastAsia="標楷體" w:hAnsi="Times New Roman"/>
        </w:rPr>
        <w:t>201</w:t>
      </w:r>
      <w:r w:rsidR="002E1142" w:rsidRPr="00E10D78">
        <w:rPr>
          <w:rFonts w:ascii="Times New Roman" w:eastAsia="標楷體" w:hAnsi="Times New Roman"/>
        </w:rPr>
        <w:t>4</w:t>
      </w:r>
      <w:r w:rsidRPr="00E10D78">
        <w:rPr>
          <w:rFonts w:ascii="Times New Roman" w:eastAsia="標楷體" w:hAnsi="Times New Roman"/>
        </w:rPr>
        <w:t>年</w:t>
      </w:r>
      <w:r w:rsidR="002E1142" w:rsidRPr="00E10D78">
        <w:rPr>
          <w:rFonts w:ascii="Times New Roman" w:eastAsia="標楷體" w:hAnsi="Times New Roman"/>
        </w:rPr>
        <w:t>中國信託</w:t>
      </w:r>
      <w:r w:rsidRPr="00E10D78">
        <w:rPr>
          <w:rFonts w:ascii="Times New Roman" w:eastAsia="標楷體" w:hAnsi="Times New Roman"/>
        </w:rPr>
        <w:t>企業社會責任報告書</w:t>
      </w:r>
    </w:p>
    <w:p w:rsidR="00A67E83" w:rsidRPr="00E10D78" w:rsidRDefault="00A67E83" w:rsidP="00BA060C">
      <w:pPr>
        <w:rPr>
          <w:rFonts w:ascii="Times New Roman" w:eastAsia="標楷體" w:hAnsi="Times New Roman"/>
        </w:rPr>
      </w:pPr>
    </w:p>
    <w:p w:rsidR="002A1ABC" w:rsidRPr="00E10D78" w:rsidRDefault="000E72E7" w:rsidP="00E10D78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E10D78">
        <w:rPr>
          <w:rFonts w:ascii="Times New Roman" w:eastAsia="標楷體" w:hAnsi="Times New Roman"/>
          <w:i/>
          <w:sz w:val="28"/>
          <w:szCs w:val="28"/>
        </w:rPr>
        <w:t>身為地球企業公民的</w:t>
      </w:r>
      <w:proofErr w:type="gramStart"/>
      <w:r w:rsidRPr="00E10D78">
        <w:rPr>
          <w:rFonts w:ascii="Times New Roman" w:eastAsia="標楷體" w:hAnsi="Times New Roman"/>
          <w:i/>
          <w:sz w:val="28"/>
          <w:szCs w:val="28"/>
        </w:rPr>
        <w:t>一</w:t>
      </w:r>
      <w:proofErr w:type="gramEnd"/>
      <w:r w:rsidRPr="00E10D78">
        <w:rPr>
          <w:rFonts w:ascii="Times New Roman" w:eastAsia="標楷體" w:hAnsi="Times New Roman"/>
          <w:i/>
          <w:sz w:val="28"/>
          <w:szCs w:val="28"/>
        </w:rPr>
        <w:t>份子，中國信託長期實踐綠色採購及綠色消費理念，了解「節能</w:t>
      </w:r>
      <w:proofErr w:type="gramStart"/>
      <w:r w:rsidRPr="00E10D78">
        <w:rPr>
          <w:rFonts w:ascii="Times New Roman" w:eastAsia="標楷體" w:hAnsi="Times New Roman"/>
          <w:i/>
          <w:sz w:val="28"/>
          <w:szCs w:val="28"/>
        </w:rPr>
        <w:t>減碳、</w:t>
      </w:r>
      <w:proofErr w:type="gramEnd"/>
      <w:r w:rsidRPr="00E10D78">
        <w:rPr>
          <w:rFonts w:ascii="Times New Roman" w:eastAsia="標楷體" w:hAnsi="Times New Roman"/>
          <w:i/>
          <w:sz w:val="28"/>
          <w:szCs w:val="28"/>
        </w:rPr>
        <w:t>環保永續」的重要性，除了從自身</w:t>
      </w:r>
      <w:proofErr w:type="gramStart"/>
      <w:r w:rsidRPr="00E10D78">
        <w:rPr>
          <w:rFonts w:ascii="Times New Roman" w:eastAsia="標楷體" w:hAnsi="Times New Roman"/>
          <w:i/>
          <w:sz w:val="28"/>
          <w:szCs w:val="28"/>
        </w:rPr>
        <w:t>節能減碳做起</w:t>
      </w:r>
      <w:proofErr w:type="gramEnd"/>
      <w:r w:rsidRPr="00E10D78">
        <w:rPr>
          <w:rFonts w:ascii="Times New Roman" w:eastAsia="標楷體" w:hAnsi="Times New Roman"/>
          <w:i/>
          <w:sz w:val="28"/>
          <w:szCs w:val="28"/>
        </w:rPr>
        <w:t>，更積極從</w:t>
      </w:r>
      <w:r w:rsidR="00B92C7A">
        <w:rPr>
          <w:rFonts w:ascii="Times New Roman" w:eastAsia="標楷體" w:hAnsi="Times New Roman"/>
          <w:i/>
          <w:sz w:val="28"/>
          <w:szCs w:val="28"/>
        </w:rPr>
        <w:t>金融本業出發，</w:t>
      </w:r>
      <w:proofErr w:type="gramStart"/>
      <w:r w:rsidR="00B92C7A">
        <w:rPr>
          <w:rFonts w:ascii="Times New Roman" w:eastAsia="標楷體" w:hAnsi="Times New Roman"/>
          <w:i/>
          <w:sz w:val="28"/>
          <w:szCs w:val="28"/>
        </w:rPr>
        <w:t>推出綠能相關</w:t>
      </w:r>
      <w:proofErr w:type="gramEnd"/>
      <w:r w:rsidR="00B92C7A">
        <w:rPr>
          <w:rFonts w:ascii="Times New Roman" w:eastAsia="標楷體" w:hAnsi="Times New Roman"/>
          <w:i/>
          <w:sz w:val="28"/>
          <w:szCs w:val="28"/>
        </w:rPr>
        <w:t>商品，也透過授信政策鼓勵節能相關產業</w:t>
      </w:r>
    </w:p>
    <w:p w:rsidR="000E72E7" w:rsidRPr="00E10D78" w:rsidRDefault="000E72E7" w:rsidP="00BA060C">
      <w:pPr>
        <w:rPr>
          <w:rFonts w:ascii="Times New Roman" w:eastAsia="標楷體" w:hAnsi="Times New Roman"/>
          <w:sz w:val="28"/>
          <w:szCs w:val="28"/>
        </w:rPr>
      </w:pPr>
    </w:p>
    <w:p w:rsidR="00A67E83" w:rsidRPr="00E10D78" w:rsidRDefault="00A67E83" w:rsidP="00E10D78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E10D78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中國信託金融控股（股）公司成立於</w:t>
      </w:r>
      <w:r w:rsidRPr="00E10D78">
        <w:rPr>
          <w:rFonts w:ascii="Times New Roman" w:eastAsia="標楷體" w:hAnsi="Times New Roman"/>
          <w:sz w:val="28"/>
          <w:szCs w:val="28"/>
        </w:rPr>
        <w:t>2002</w:t>
      </w:r>
      <w:r w:rsidRPr="00E10D78">
        <w:rPr>
          <w:rFonts w:ascii="Times New Roman" w:eastAsia="標楷體" w:hAnsi="Times New Roman"/>
          <w:sz w:val="28"/>
          <w:szCs w:val="28"/>
        </w:rPr>
        <w:t>年</w:t>
      </w:r>
      <w:r w:rsidRPr="00E10D78">
        <w:rPr>
          <w:rFonts w:ascii="Times New Roman" w:eastAsia="標楷體" w:hAnsi="Times New Roman"/>
          <w:sz w:val="28"/>
          <w:szCs w:val="28"/>
        </w:rPr>
        <w:t>5</w:t>
      </w:r>
      <w:r w:rsidRPr="00E10D78">
        <w:rPr>
          <w:rFonts w:ascii="Times New Roman" w:eastAsia="標楷體" w:hAnsi="Times New Roman"/>
          <w:sz w:val="28"/>
          <w:szCs w:val="28"/>
        </w:rPr>
        <w:t>月</w:t>
      </w:r>
      <w:r w:rsidRPr="00E10D78">
        <w:rPr>
          <w:rFonts w:ascii="Times New Roman" w:eastAsia="標楷體" w:hAnsi="Times New Roman"/>
          <w:sz w:val="28"/>
          <w:szCs w:val="28"/>
        </w:rPr>
        <w:t>17</w:t>
      </w:r>
      <w:r w:rsidRPr="00E10D78">
        <w:rPr>
          <w:rFonts w:ascii="Times New Roman" w:eastAsia="標楷體" w:hAnsi="Times New Roman"/>
          <w:sz w:val="28"/>
          <w:szCs w:val="28"/>
        </w:rPr>
        <w:t>日，身為臺灣金融業的領導品牌，中國信託將企業社會責任（</w:t>
      </w:r>
      <w:r w:rsidRPr="00E10D78">
        <w:rPr>
          <w:rFonts w:ascii="Times New Roman" w:eastAsia="標楷體" w:hAnsi="Times New Roman"/>
          <w:sz w:val="28"/>
          <w:szCs w:val="28"/>
        </w:rPr>
        <w:t>Corporate Social</w:t>
      </w:r>
      <w:r w:rsidR="00E10D78" w:rsidRPr="00E10D78">
        <w:rPr>
          <w:rFonts w:ascii="Times New Roman" w:eastAsia="標楷體" w:hAnsi="Times New Roman"/>
          <w:sz w:val="28"/>
          <w:szCs w:val="28"/>
        </w:rPr>
        <w:t xml:space="preserve"> </w:t>
      </w:r>
      <w:r w:rsidRPr="00E10D78">
        <w:rPr>
          <w:rFonts w:ascii="Times New Roman" w:eastAsia="標楷體" w:hAnsi="Times New Roman"/>
          <w:sz w:val="28"/>
          <w:szCs w:val="28"/>
        </w:rPr>
        <w:t>Responsibility, CSR</w:t>
      </w:r>
      <w:r w:rsidRPr="00E10D78">
        <w:rPr>
          <w:rFonts w:ascii="Times New Roman" w:eastAsia="標楷體" w:hAnsi="Times New Roman"/>
          <w:sz w:val="28"/>
          <w:szCs w:val="28"/>
        </w:rPr>
        <w:t>）列為經營策略之一環，以「公司治理、客戶關係、員工照顧、環境保護、社會參與」為面向，投入大量人力與物力資源，並自</w:t>
      </w:r>
      <w:r w:rsidRPr="00E10D78">
        <w:rPr>
          <w:rFonts w:ascii="Times New Roman" w:eastAsia="標楷體" w:hAnsi="Times New Roman"/>
          <w:sz w:val="28"/>
          <w:szCs w:val="28"/>
        </w:rPr>
        <w:t>2007</w:t>
      </w:r>
      <w:r w:rsidRPr="00E10D78">
        <w:rPr>
          <w:rFonts w:ascii="Times New Roman" w:eastAsia="標楷體" w:hAnsi="Times New Roman"/>
          <w:sz w:val="28"/>
          <w:szCs w:val="28"/>
        </w:rPr>
        <w:t>年起發行企業社會責任報告書，期望透過這份報告書，自我檢視中國信託之企業社會責任績效。</w:t>
      </w:r>
      <w:r w:rsidRPr="00E10D78">
        <w:rPr>
          <w:rFonts w:ascii="Times New Roman" w:eastAsia="標楷體" w:hAnsi="Times New Roman"/>
          <w:sz w:val="28"/>
          <w:szCs w:val="28"/>
        </w:rPr>
        <w:t>2010</w:t>
      </w:r>
      <w:r w:rsidRPr="00E10D78">
        <w:rPr>
          <w:rFonts w:ascii="Times New Roman" w:eastAsia="標楷體" w:hAnsi="Times New Roman"/>
          <w:sz w:val="28"/>
          <w:szCs w:val="28"/>
        </w:rPr>
        <w:t>年更首開臺灣金融業先例，取得第三方機構英國標準協會（</w:t>
      </w:r>
      <w:r w:rsidRPr="00E10D78">
        <w:rPr>
          <w:rFonts w:ascii="Times New Roman" w:eastAsia="標楷體" w:hAnsi="Times New Roman"/>
          <w:sz w:val="28"/>
          <w:szCs w:val="28"/>
        </w:rPr>
        <w:t>British Standards Institution, BSI</w:t>
      </w:r>
      <w:r w:rsidRPr="00E10D78">
        <w:rPr>
          <w:rFonts w:ascii="Times New Roman" w:eastAsia="標楷體" w:hAnsi="Times New Roman"/>
          <w:sz w:val="28"/>
          <w:szCs w:val="28"/>
        </w:rPr>
        <w:t>）查證，迄今已連續</w:t>
      </w:r>
      <w:r w:rsidRPr="00E10D78">
        <w:rPr>
          <w:rFonts w:ascii="Times New Roman" w:eastAsia="標楷體" w:hAnsi="Times New Roman"/>
          <w:sz w:val="28"/>
          <w:szCs w:val="28"/>
        </w:rPr>
        <w:t>6</w:t>
      </w:r>
      <w:r w:rsidRPr="00E10D78">
        <w:rPr>
          <w:rFonts w:ascii="Times New Roman" w:eastAsia="標楷體" w:hAnsi="Times New Roman"/>
          <w:sz w:val="28"/>
          <w:szCs w:val="28"/>
        </w:rPr>
        <w:t>年榮獲</w:t>
      </w:r>
      <w:r w:rsidRPr="00E10D78">
        <w:rPr>
          <w:rFonts w:ascii="Times New Roman" w:eastAsia="標楷體" w:hAnsi="Times New Roman"/>
          <w:sz w:val="28"/>
          <w:szCs w:val="28"/>
        </w:rPr>
        <w:t>BSI</w:t>
      </w:r>
      <w:r w:rsidRPr="00E10D78">
        <w:rPr>
          <w:rFonts w:ascii="Times New Roman" w:eastAsia="標楷體" w:hAnsi="Times New Roman"/>
          <w:sz w:val="28"/>
          <w:szCs w:val="28"/>
        </w:rPr>
        <w:t>頒發查證證書。為持續精進並與國際接軌，中國信託自</w:t>
      </w:r>
      <w:r w:rsidRPr="00E10D78">
        <w:rPr>
          <w:rFonts w:ascii="Times New Roman" w:eastAsia="標楷體" w:hAnsi="Times New Roman"/>
          <w:sz w:val="28"/>
          <w:szCs w:val="28"/>
        </w:rPr>
        <w:t>2013</w:t>
      </w:r>
      <w:r w:rsidRPr="00E10D78">
        <w:rPr>
          <w:rFonts w:ascii="Times New Roman" w:eastAsia="標楷體" w:hAnsi="Times New Roman"/>
          <w:sz w:val="28"/>
          <w:szCs w:val="28"/>
        </w:rPr>
        <w:t>年，率先依據全球永續性報告協會（</w:t>
      </w:r>
      <w:r w:rsidRPr="00E10D78">
        <w:rPr>
          <w:rFonts w:ascii="Times New Roman" w:eastAsia="標楷體" w:hAnsi="Times New Roman"/>
          <w:sz w:val="28"/>
          <w:szCs w:val="28"/>
        </w:rPr>
        <w:t>Global Reporting Initiative, GRI</w:t>
      </w:r>
      <w:r w:rsidRPr="00E10D78">
        <w:rPr>
          <w:rFonts w:ascii="Times New Roman" w:eastAsia="標楷體" w:hAnsi="Times New Roman"/>
          <w:sz w:val="28"/>
          <w:szCs w:val="28"/>
        </w:rPr>
        <w:t>）的</w:t>
      </w:r>
      <w:r w:rsidRPr="00E10D78">
        <w:rPr>
          <w:rFonts w:ascii="Times New Roman" w:eastAsia="標楷體" w:hAnsi="Times New Roman"/>
          <w:sz w:val="28"/>
          <w:szCs w:val="28"/>
        </w:rPr>
        <w:t>GRIG4</w:t>
      </w:r>
      <w:r w:rsidRPr="00E10D78">
        <w:rPr>
          <w:rFonts w:ascii="Times New Roman" w:eastAsia="標楷體" w:hAnsi="Times New Roman"/>
          <w:sz w:val="28"/>
          <w:szCs w:val="28"/>
        </w:rPr>
        <w:t>版指標編製</w:t>
      </w:r>
      <w:r w:rsidRPr="00E10D78">
        <w:rPr>
          <w:rFonts w:ascii="Times New Roman" w:eastAsia="標楷體" w:hAnsi="Times New Roman"/>
          <w:sz w:val="28"/>
          <w:szCs w:val="28"/>
        </w:rPr>
        <w:t xml:space="preserve">CSR </w:t>
      </w:r>
      <w:r w:rsidRPr="00E10D78">
        <w:rPr>
          <w:rFonts w:ascii="Times New Roman" w:eastAsia="標楷體" w:hAnsi="Times New Roman"/>
          <w:sz w:val="28"/>
          <w:szCs w:val="28"/>
        </w:rPr>
        <w:t>報告書，讓社會大眾與利害關係人了解中國信託的理念與作為，使揭露程度更符合利害關係人期待。</w:t>
      </w:r>
    </w:p>
    <w:p w:rsidR="00B92C7A" w:rsidRDefault="00B92C7A" w:rsidP="00E10D78">
      <w:pPr>
        <w:snapToGrid w:val="0"/>
        <w:spacing w:line="360" w:lineRule="auto"/>
        <w:rPr>
          <w:rFonts w:ascii="Times New Roman" w:eastAsia="標楷體" w:hAnsi="Times New Roman" w:hint="eastAsia"/>
          <w:b/>
          <w:sz w:val="28"/>
          <w:szCs w:val="28"/>
        </w:rPr>
      </w:pPr>
    </w:p>
    <w:p w:rsidR="00A67E83" w:rsidRPr="00E10D78" w:rsidRDefault="00A67E83" w:rsidP="00E10D78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E10D78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行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遠－永續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經營的綠色策略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新建的中國信託金融園區重視環保意識相關設計之運用，</w:t>
      </w:r>
      <w:r w:rsidRPr="00E10D78">
        <w:rPr>
          <w:rFonts w:ascii="Times New Roman" w:eastAsia="標楷體" w:hAnsi="Times New Roman"/>
          <w:sz w:val="28"/>
          <w:szCs w:val="28"/>
        </w:rPr>
        <w:t xml:space="preserve"> </w:t>
      </w:r>
      <w:r w:rsidRPr="00E10D78">
        <w:rPr>
          <w:rFonts w:ascii="Times New Roman" w:eastAsia="標楷體" w:hAnsi="Times New Roman"/>
          <w:sz w:val="28"/>
          <w:szCs w:val="28"/>
        </w:rPr>
        <w:t>如：</w:t>
      </w:r>
      <w:r w:rsidRPr="00E10D78">
        <w:rPr>
          <w:rFonts w:ascii="Times New Roman" w:eastAsia="標楷體" w:hAnsi="Times New Roman"/>
          <w:sz w:val="28"/>
          <w:szCs w:val="28"/>
        </w:rPr>
        <w:t xml:space="preserve"> </w:t>
      </w:r>
      <w:r w:rsidRPr="00E10D78">
        <w:rPr>
          <w:rFonts w:ascii="Times New Roman" w:eastAsia="標楷體" w:hAnsi="Times New Roman"/>
          <w:sz w:val="28"/>
          <w:szCs w:val="28"/>
        </w:rPr>
        <w:t>節能、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lastRenderedPageBreak/>
        <w:t>減碳、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再生資源。公共空間並結合文化設施、創意、綠化生態保育、與環境的和諧與共存，代表著中國信託對社會大眾的重要承諾「</w:t>
      </w:r>
      <w:r w:rsidRPr="00E10D78">
        <w:rPr>
          <w:rFonts w:ascii="Times New Roman" w:eastAsia="標楷體" w:hAnsi="Times New Roman"/>
          <w:sz w:val="28"/>
          <w:szCs w:val="28"/>
        </w:rPr>
        <w:t>Green Policy Green Future</w:t>
      </w:r>
      <w:r w:rsidRPr="00E10D78">
        <w:rPr>
          <w:rFonts w:ascii="Times New Roman" w:eastAsia="標楷體" w:hAnsi="Times New Roman"/>
          <w:sz w:val="28"/>
          <w:szCs w:val="28"/>
        </w:rPr>
        <w:t>」。身為地球企業公民的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份子，中國信託長期實踐綠色採購及綠色消費理念，了解「節能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減碳、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環保永續」的重要性，除了從自身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節能減碳做起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，更積極從金融本業出發，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推出綠能相關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商品，也透過授信政策鼓勵節能相關產業。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中國信託金融園區榮獲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鑽石級綠建築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標章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中國信託於</w:t>
      </w:r>
      <w:r w:rsidRPr="00E10D78">
        <w:rPr>
          <w:rFonts w:ascii="Times New Roman" w:eastAsia="標楷體" w:hAnsi="Times New Roman"/>
          <w:sz w:val="28"/>
          <w:szCs w:val="28"/>
        </w:rPr>
        <w:t>2009</w:t>
      </w:r>
      <w:r w:rsidRPr="00E10D78">
        <w:rPr>
          <w:rFonts w:ascii="Times New Roman" w:eastAsia="標楷體" w:hAnsi="Times New Roman"/>
          <w:sz w:val="28"/>
          <w:szCs w:val="28"/>
        </w:rPr>
        <w:t>年</w:t>
      </w:r>
      <w:r w:rsidRPr="00E10D78">
        <w:rPr>
          <w:rFonts w:ascii="Times New Roman" w:eastAsia="標楷體" w:hAnsi="Times New Roman"/>
          <w:sz w:val="28"/>
          <w:szCs w:val="28"/>
        </w:rPr>
        <w:t>1</w:t>
      </w:r>
      <w:r w:rsidRPr="00E10D78">
        <w:rPr>
          <w:rFonts w:ascii="Times New Roman" w:eastAsia="標楷體" w:hAnsi="Times New Roman"/>
          <w:sz w:val="28"/>
          <w:szCs w:val="28"/>
        </w:rPr>
        <w:t>月在南港經貿園區建造中國信託金融園區，共計占地</w:t>
      </w:r>
      <w:r w:rsidRPr="00E10D78">
        <w:rPr>
          <w:rFonts w:ascii="Times New Roman" w:eastAsia="標楷體" w:hAnsi="Times New Roman"/>
          <w:sz w:val="28"/>
          <w:szCs w:val="28"/>
        </w:rPr>
        <w:t>9, 284</w:t>
      </w:r>
      <w:r w:rsidRPr="00E10D78">
        <w:rPr>
          <w:rFonts w:ascii="Times New Roman" w:eastAsia="標楷體" w:hAnsi="Times New Roman"/>
          <w:sz w:val="28"/>
          <w:szCs w:val="28"/>
        </w:rPr>
        <w:t>坪，從開發規劃初期便延請東急建設株式會社針對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節能減碳效益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作整體評估，經台灣建築中心審核通過，符合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國內綠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建築評估指標中「綠化量、基地保水、日常節能、二氧化碳減量、廢棄物減量、室內環境、水資源及污水垃圾改善」等</w:t>
      </w:r>
      <w:r w:rsidRPr="00E10D78">
        <w:rPr>
          <w:rFonts w:ascii="Times New Roman" w:eastAsia="標楷體" w:hAnsi="Times New Roman"/>
          <w:sz w:val="28"/>
          <w:szCs w:val="28"/>
        </w:rPr>
        <w:t>8</w:t>
      </w:r>
      <w:r w:rsidRPr="00E10D78">
        <w:rPr>
          <w:rFonts w:ascii="Times New Roman" w:eastAsia="標楷體" w:hAnsi="Times New Roman"/>
          <w:sz w:val="28"/>
          <w:szCs w:val="28"/>
        </w:rPr>
        <w:t>項指標，預估每年可創造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固碳量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（植物吸收二氧化碳的能量）</w:t>
      </w:r>
      <w:r w:rsidRPr="00E10D78">
        <w:rPr>
          <w:rFonts w:ascii="Times New Roman" w:eastAsia="標楷體" w:hAnsi="Times New Roman"/>
          <w:sz w:val="28"/>
          <w:szCs w:val="28"/>
        </w:rPr>
        <w:t>8,240</w:t>
      </w:r>
      <w:r w:rsidRPr="00E10D78">
        <w:rPr>
          <w:rFonts w:ascii="Times New Roman" w:eastAsia="標楷體" w:hAnsi="Times New Roman"/>
          <w:sz w:val="28"/>
          <w:szCs w:val="28"/>
        </w:rPr>
        <w:t>公噸以上的綠色效益，</w:t>
      </w:r>
      <w:r w:rsidRPr="00E10D78">
        <w:rPr>
          <w:rFonts w:ascii="Times New Roman" w:eastAsia="標楷體" w:hAnsi="Times New Roman"/>
          <w:sz w:val="28"/>
          <w:szCs w:val="28"/>
        </w:rPr>
        <w:t>2015</w:t>
      </w:r>
      <w:r w:rsidRPr="00E10D78">
        <w:rPr>
          <w:rFonts w:ascii="Times New Roman" w:eastAsia="標楷體" w:hAnsi="Times New Roman"/>
          <w:sz w:val="28"/>
          <w:szCs w:val="28"/>
        </w:rPr>
        <w:t>年榮獲內政部頒發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鑽石級綠建築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認證，為目前金融業辦公大樓中基地面積最大的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鑽石級綠建築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，成為國內辦公大樓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節能減碳的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最佳典範。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除將中國信託金融園區設計為綠建築外，中國信託亦在大樓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邊認養逾</w:t>
      </w:r>
      <w:r w:rsidRPr="00E10D78">
        <w:rPr>
          <w:rFonts w:ascii="Times New Roman" w:eastAsia="標楷體" w:hAnsi="Times New Roman"/>
          <w:sz w:val="28"/>
          <w:szCs w:val="28"/>
        </w:rPr>
        <w:t>3,641</w:t>
      </w:r>
      <w:r w:rsidRPr="00E10D78">
        <w:rPr>
          <w:rFonts w:ascii="Times New Roman" w:eastAsia="標楷體" w:hAnsi="Times New Roman"/>
          <w:sz w:val="28"/>
          <w:szCs w:val="28"/>
        </w:rPr>
        <w:t>坪的南港「三重世貿公園」，灌木植栽面積達</w:t>
      </w:r>
      <w:r w:rsidRPr="00E10D78">
        <w:rPr>
          <w:rFonts w:ascii="Times New Roman" w:eastAsia="標楷體" w:hAnsi="Times New Roman"/>
          <w:sz w:val="28"/>
          <w:szCs w:val="28"/>
        </w:rPr>
        <w:t>1,795</w:t>
      </w:r>
      <w:r w:rsidRPr="00E10D78">
        <w:rPr>
          <w:rFonts w:ascii="Times New Roman" w:eastAsia="標楷體" w:hAnsi="Times New Roman"/>
          <w:sz w:val="28"/>
          <w:szCs w:val="28"/>
        </w:rPr>
        <w:t>平方公尺、草坪植栽面積達</w:t>
      </w:r>
      <w:r w:rsidRPr="00E10D78">
        <w:rPr>
          <w:rFonts w:ascii="Times New Roman" w:eastAsia="標楷體" w:hAnsi="Times New Roman"/>
          <w:sz w:val="28"/>
          <w:szCs w:val="28"/>
        </w:rPr>
        <w:t>2,854</w:t>
      </w:r>
      <w:r w:rsidRPr="00E10D78">
        <w:rPr>
          <w:rFonts w:ascii="Times New Roman" w:eastAsia="標楷體" w:hAnsi="Times New Roman"/>
          <w:sz w:val="28"/>
          <w:szCs w:val="28"/>
        </w:rPr>
        <w:t>平方公尺，共計種植喬木</w:t>
      </w:r>
      <w:r w:rsidRPr="00E10D78">
        <w:rPr>
          <w:rFonts w:ascii="Times New Roman" w:eastAsia="標楷體" w:hAnsi="Times New Roman"/>
          <w:sz w:val="28"/>
          <w:szCs w:val="28"/>
        </w:rPr>
        <w:t>317</w:t>
      </w:r>
      <w:r w:rsidRPr="00E10D78">
        <w:rPr>
          <w:rFonts w:ascii="Times New Roman" w:eastAsia="標楷體" w:hAnsi="Times New Roman"/>
          <w:sz w:val="28"/>
          <w:szCs w:val="28"/>
        </w:rPr>
        <w:t>株，規劃建立如櫻花林、落羽松林、溼地沼澤、蕨類、草坪及棧道等多樣地貌，希望透過各種不同種類的植栽，寓教於樂地展現臺灣林相的縮影。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為求對環境友善，中國信託金融園區採用輕量化設計，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包括鋼體構造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、輕隔間牆、金屬玻璃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帷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牆等，外殼採用</w:t>
      </w:r>
      <w:r w:rsidRPr="00E10D78">
        <w:rPr>
          <w:rFonts w:ascii="Times New Roman" w:eastAsia="標楷體" w:hAnsi="Times New Roman"/>
          <w:sz w:val="28"/>
          <w:szCs w:val="28"/>
        </w:rPr>
        <w:t>Low-e</w:t>
      </w:r>
      <w:r w:rsidRPr="00E10D78">
        <w:rPr>
          <w:rFonts w:ascii="Times New Roman" w:eastAsia="標楷體" w:hAnsi="Times New Roman"/>
          <w:sz w:val="28"/>
          <w:szCs w:val="28"/>
        </w:rPr>
        <w:t>玻璃建材，可有效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阻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絕熱輻射，並首開臺灣先例，辦公樓層全部採用</w:t>
      </w:r>
      <w:r w:rsidRPr="00E10D78">
        <w:rPr>
          <w:rFonts w:ascii="Times New Roman" w:eastAsia="標楷體" w:hAnsi="Times New Roman"/>
          <w:sz w:val="28"/>
          <w:szCs w:val="28"/>
        </w:rPr>
        <w:t>Chilled Beam System</w:t>
      </w:r>
      <w:r w:rsidRPr="00E10D78">
        <w:rPr>
          <w:rFonts w:ascii="Times New Roman" w:eastAsia="標楷體" w:hAnsi="Times New Roman"/>
          <w:sz w:val="28"/>
          <w:szCs w:val="28"/>
        </w:rPr>
        <w:lastRenderedPageBreak/>
        <w:t>冷卻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樑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板空調送風系統，利用輻射擴散效應及冷熱對流達到空氣自然對流，辦公空間內不必裝設傳統空調風車，不僅提供無噪音及舒適的室內溫度環境，更能達到優異的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節能減碳效果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，目前兩棟大樓安裝</w:t>
      </w:r>
      <w:r w:rsidRPr="00E10D78">
        <w:rPr>
          <w:rFonts w:ascii="Times New Roman" w:eastAsia="標楷體" w:hAnsi="Times New Roman"/>
          <w:sz w:val="28"/>
          <w:szCs w:val="28"/>
        </w:rPr>
        <w:t>3,048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，預估每年可節省約</w:t>
      </w:r>
      <w:r w:rsidRPr="00E10D78">
        <w:rPr>
          <w:rFonts w:ascii="Times New Roman" w:eastAsia="標楷體" w:hAnsi="Times New Roman"/>
          <w:sz w:val="28"/>
          <w:szCs w:val="28"/>
        </w:rPr>
        <w:t>245</w:t>
      </w:r>
      <w:r w:rsidRPr="00E10D78">
        <w:rPr>
          <w:rFonts w:ascii="Times New Roman" w:eastAsia="標楷體" w:hAnsi="Times New Roman"/>
          <w:sz w:val="28"/>
          <w:szCs w:val="28"/>
        </w:rPr>
        <w:t>萬度電，減少每年</w:t>
      </w:r>
      <w:r w:rsidRPr="00E10D78">
        <w:rPr>
          <w:rFonts w:ascii="Times New Roman" w:eastAsia="標楷體" w:hAnsi="Times New Roman"/>
          <w:sz w:val="28"/>
          <w:szCs w:val="28"/>
        </w:rPr>
        <w:t>1,561</w:t>
      </w:r>
      <w:r w:rsidRPr="00E10D78">
        <w:rPr>
          <w:rFonts w:ascii="Times New Roman" w:eastAsia="標楷體" w:hAnsi="Times New Roman"/>
          <w:sz w:val="28"/>
          <w:szCs w:val="28"/>
        </w:rPr>
        <w:t>噸二氧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化碳排放量。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proofErr w:type="gramStart"/>
      <w:r w:rsidRPr="00E10D78">
        <w:rPr>
          <w:rFonts w:ascii="Times New Roman" w:eastAsia="標楷體" w:hAnsi="Times New Roman"/>
          <w:sz w:val="28"/>
          <w:szCs w:val="28"/>
        </w:rPr>
        <w:t>此外，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總部辦公室全部採用</w:t>
      </w:r>
      <w:r w:rsidRPr="00E10D78">
        <w:rPr>
          <w:rFonts w:ascii="Times New Roman" w:eastAsia="標楷體" w:hAnsi="Times New Roman"/>
          <w:sz w:val="28"/>
          <w:szCs w:val="28"/>
        </w:rPr>
        <w:t>LED</w:t>
      </w:r>
      <w:r w:rsidRPr="00E10D78">
        <w:rPr>
          <w:rFonts w:ascii="Times New Roman" w:eastAsia="標楷體" w:hAnsi="Times New Roman"/>
          <w:sz w:val="28"/>
          <w:szCs w:val="28"/>
        </w:rPr>
        <w:t>燈，並規劃電子式安定器以節省電力支出，電梯電力中斷採用緊急電源自動切換運轉功能。水資源部份，建築物內外用水設施或灑水設備等，均採用雨水回收系統、循環再利用系統及省水設備等裝置。為因應極端氣候，總部地下樓還設有儲水量</w:t>
      </w:r>
      <w:r w:rsidRPr="00E10D78">
        <w:rPr>
          <w:rFonts w:ascii="Times New Roman" w:eastAsia="標楷體" w:hAnsi="Times New Roman"/>
          <w:sz w:val="28"/>
          <w:szCs w:val="28"/>
        </w:rPr>
        <w:t>2,625</w:t>
      </w:r>
      <w:r w:rsidRPr="00E10D78">
        <w:rPr>
          <w:rFonts w:ascii="Times New Roman" w:eastAsia="標楷體" w:hAnsi="Times New Roman"/>
          <w:sz w:val="28"/>
          <w:szCs w:val="28"/>
        </w:rPr>
        <w:t>噸的雨水回收池，大雨來時將有效成為儲水槽，避免周遭社區淹水成災。為節能省電，</w:t>
      </w:r>
      <w:proofErr w:type="gramStart"/>
      <w:r w:rsidRPr="00E10D78">
        <w:rPr>
          <w:rFonts w:ascii="Times New Roman" w:eastAsia="標楷體" w:hAnsi="Times New Roman"/>
          <w:sz w:val="28"/>
          <w:szCs w:val="28"/>
        </w:rPr>
        <w:t>基地裙樓屋頂</w:t>
      </w:r>
      <w:proofErr w:type="gramEnd"/>
      <w:r w:rsidRPr="00E10D78">
        <w:rPr>
          <w:rFonts w:ascii="Times New Roman" w:eastAsia="標楷體" w:hAnsi="Times New Roman"/>
          <w:sz w:val="28"/>
          <w:szCs w:val="28"/>
        </w:rPr>
        <w:t>裝置了太陽能電板，裝設面積共</w:t>
      </w:r>
      <w:r w:rsidRPr="00E10D78">
        <w:rPr>
          <w:rFonts w:ascii="Times New Roman" w:eastAsia="標楷體" w:hAnsi="Times New Roman"/>
          <w:sz w:val="28"/>
          <w:szCs w:val="28"/>
        </w:rPr>
        <w:t>699</w:t>
      </w:r>
      <w:r w:rsidRPr="00E10D78">
        <w:rPr>
          <w:rFonts w:ascii="Times New Roman" w:eastAsia="標楷體" w:hAnsi="Times New Roman"/>
          <w:sz w:val="28"/>
          <w:szCs w:val="28"/>
        </w:rPr>
        <w:t>平方公尺，預估每年可產生</w:t>
      </w:r>
      <w:r w:rsidRPr="00E10D78">
        <w:rPr>
          <w:rFonts w:ascii="Times New Roman" w:eastAsia="標楷體" w:hAnsi="Times New Roman"/>
          <w:sz w:val="28"/>
          <w:szCs w:val="28"/>
        </w:rPr>
        <w:t>8</w:t>
      </w:r>
      <w:r w:rsidRPr="00E10D78">
        <w:rPr>
          <w:rFonts w:ascii="Times New Roman" w:eastAsia="標楷體" w:hAnsi="Times New Roman"/>
          <w:sz w:val="28"/>
          <w:szCs w:val="28"/>
        </w:rPr>
        <w:t>萬</w:t>
      </w:r>
      <w:r w:rsidRPr="00E10D78">
        <w:rPr>
          <w:rFonts w:ascii="Times New Roman" w:eastAsia="標楷體" w:hAnsi="Times New Roman"/>
          <w:sz w:val="28"/>
          <w:szCs w:val="28"/>
        </w:rPr>
        <w:t>1,500</w:t>
      </w:r>
      <w:r w:rsidRPr="00E10D78">
        <w:rPr>
          <w:rFonts w:ascii="Times New Roman" w:eastAsia="標楷體" w:hAnsi="Times New Roman"/>
          <w:sz w:val="28"/>
          <w:szCs w:val="28"/>
        </w:rPr>
        <w:t>度電力支應公共用</w:t>
      </w:r>
    </w:p>
    <w:p w:rsidR="002E1142" w:rsidRPr="00E10D78" w:rsidRDefault="002E1142" w:rsidP="00E10D78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E10D78">
        <w:rPr>
          <w:rFonts w:ascii="Times New Roman" w:eastAsia="標楷體" w:hAnsi="Times New Roman"/>
          <w:sz w:val="28"/>
          <w:szCs w:val="28"/>
        </w:rPr>
        <w:t>電，等同減少</w:t>
      </w:r>
      <w:r w:rsidRPr="00E10D78">
        <w:rPr>
          <w:rFonts w:ascii="Times New Roman" w:eastAsia="標楷體" w:hAnsi="Times New Roman"/>
          <w:sz w:val="28"/>
          <w:szCs w:val="28"/>
        </w:rPr>
        <w:t>4</w:t>
      </w:r>
      <w:r w:rsidRPr="00E10D78">
        <w:rPr>
          <w:rFonts w:ascii="Times New Roman" w:eastAsia="標楷體" w:hAnsi="Times New Roman"/>
          <w:sz w:val="28"/>
          <w:szCs w:val="28"/>
        </w:rPr>
        <w:t>萬</w:t>
      </w:r>
      <w:r w:rsidRPr="00E10D78">
        <w:rPr>
          <w:rFonts w:ascii="Times New Roman" w:eastAsia="標楷體" w:hAnsi="Times New Roman"/>
          <w:sz w:val="28"/>
          <w:szCs w:val="28"/>
        </w:rPr>
        <w:t>3,797</w:t>
      </w:r>
      <w:r w:rsidRPr="00E10D78">
        <w:rPr>
          <w:rFonts w:ascii="Times New Roman" w:eastAsia="標楷體" w:hAnsi="Times New Roman"/>
          <w:sz w:val="28"/>
          <w:szCs w:val="28"/>
        </w:rPr>
        <w:t>公斤二氧化碳排放量（</w:t>
      </w:r>
      <w:r w:rsidRPr="00E10D78">
        <w:rPr>
          <w:rFonts w:ascii="Times New Roman" w:eastAsia="標楷體" w:hAnsi="Times New Roman"/>
          <w:sz w:val="28"/>
          <w:szCs w:val="28"/>
        </w:rPr>
        <w:t>KgCO2e</w:t>
      </w:r>
      <w:r w:rsidRPr="00E10D78">
        <w:rPr>
          <w:rFonts w:ascii="Times New Roman" w:eastAsia="標楷體" w:hAnsi="Times New Roman"/>
          <w:sz w:val="28"/>
          <w:szCs w:val="28"/>
        </w:rPr>
        <w:t>）。</w:t>
      </w:r>
    </w:p>
    <w:p w:rsidR="00923F14" w:rsidRPr="00E10D78" w:rsidRDefault="00923F14" w:rsidP="00E10D78">
      <w:pPr>
        <w:pStyle w:val="a3"/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</w:p>
    <w:sectPr w:rsidR="00923F14" w:rsidRPr="00E10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81" w:rsidRDefault="005B0781" w:rsidP="00B1044F">
      <w:r>
        <w:separator/>
      </w:r>
    </w:p>
  </w:endnote>
  <w:endnote w:type="continuationSeparator" w:id="0">
    <w:p w:rsidR="005B0781" w:rsidRDefault="005B0781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81" w:rsidRDefault="005B0781" w:rsidP="00B1044F">
      <w:r>
        <w:separator/>
      </w:r>
    </w:p>
  </w:footnote>
  <w:footnote w:type="continuationSeparator" w:id="0">
    <w:p w:rsidR="005B0781" w:rsidRDefault="005B0781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C48D9"/>
    <w:rsid w:val="000E72E7"/>
    <w:rsid w:val="00195CAE"/>
    <w:rsid w:val="001E3031"/>
    <w:rsid w:val="001E5566"/>
    <w:rsid w:val="00292863"/>
    <w:rsid w:val="002A1ABC"/>
    <w:rsid w:val="002E1142"/>
    <w:rsid w:val="00344853"/>
    <w:rsid w:val="003C4CB9"/>
    <w:rsid w:val="004B6614"/>
    <w:rsid w:val="0052203E"/>
    <w:rsid w:val="005750E1"/>
    <w:rsid w:val="005B0781"/>
    <w:rsid w:val="006D1F25"/>
    <w:rsid w:val="0074047E"/>
    <w:rsid w:val="007469EB"/>
    <w:rsid w:val="007B6B46"/>
    <w:rsid w:val="00845C43"/>
    <w:rsid w:val="00894BC8"/>
    <w:rsid w:val="008B0F1F"/>
    <w:rsid w:val="00905B8C"/>
    <w:rsid w:val="00923F14"/>
    <w:rsid w:val="009549E6"/>
    <w:rsid w:val="009A11AE"/>
    <w:rsid w:val="00A020BC"/>
    <w:rsid w:val="00A42639"/>
    <w:rsid w:val="00A57517"/>
    <w:rsid w:val="00A67E83"/>
    <w:rsid w:val="00A94059"/>
    <w:rsid w:val="00B1044F"/>
    <w:rsid w:val="00B12C43"/>
    <w:rsid w:val="00B1608E"/>
    <w:rsid w:val="00B51ED9"/>
    <w:rsid w:val="00B92C7A"/>
    <w:rsid w:val="00BA060C"/>
    <w:rsid w:val="00BF1912"/>
    <w:rsid w:val="00C01EF8"/>
    <w:rsid w:val="00C523B2"/>
    <w:rsid w:val="00C659CB"/>
    <w:rsid w:val="00C75961"/>
    <w:rsid w:val="00CA630E"/>
    <w:rsid w:val="00CB78DF"/>
    <w:rsid w:val="00CC7937"/>
    <w:rsid w:val="00DD4C69"/>
    <w:rsid w:val="00DF77D1"/>
    <w:rsid w:val="00E10D78"/>
    <w:rsid w:val="00EA72B5"/>
    <w:rsid w:val="00F06015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7</cp:revision>
  <dcterms:created xsi:type="dcterms:W3CDTF">2015-12-25T02:16:00Z</dcterms:created>
  <dcterms:modified xsi:type="dcterms:W3CDTF">2015-12-25T07:45:00Z</dcterms:modified>
</cp:coreProperties>
</file>