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1FA8" w14:textId="5E2174A3" w:rsidR="008D1DBF" w:rsidRPr="000C014F" w:rsidRDefault="002456F4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中鋼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7B2611">
        <w:rPr>
          <w:rFonts w:ascii="Times New Roman" w:eastAsia="標楷體" w:hAnsi="Times New Roman" w:hint="eastAsia"/>
          <w:sz w:val="32"/>
          <w:szCs w:val="28"/>
        </w:rPr>
        <w:t>CSR</w:t>
      </w:r>
      <w:r w:rsidR="007B2611">
        <w:rPr>
          <w:rFonts w:ascii="Times New Roman" w:eastAsia="標楷體" w:hAnsi="Times New Roman" w:hint="eastAsia"/>
          <w:sz w:val="32"/>
          <w:szCs w:val="28"/>
        </w:rPr>
        <w:t>管理</w:t>
      </w:r>
    </w:p>
    <w:p w14:paraId="353C2A40" w14:textId="5C84AF51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71650E">
        <w:rPr>
          <w:rFonts w:ascii="Times New Roman" w:eastAsia="標楷體" w:hAnsi="Times New Roman" w:hint="eastAsia"/>
          <w:sz w:val="28"/>
          <w:szCs w:val="28"/>
        </w:rPr>
        <w:t>第</w:t>
      </w:r>
      <w:r w:rsidR="007B2611">
        <w:rPr>
          <w:rFonts w:ascii="Times New Roman" w:eastAsia="標楷體" w:hAnsi="Times New Roman" w:hint="eastAsia"/>
          <w:sz w:val="28"/>
          <w:szCs w:val="28"/>
        </w:rPr>
        <w:t>九</w:t>
      </w:r>
      <w:r w:rsidRPr="0071650E">
        <w:rPr>
          <w:rFonts w:ascii="Times New Roman" w:eastAsia="標楷體" w:hAnsi="Times New Roman" w:hint="eastAsia"/>
          <w:sz w:val="28"/>
          <w:szCs w:val="28"/>
        </w:rPr>
        <w:t>條</w:t>
      </w:r>
      <w:r w:rsidRPr="0071650E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71650E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695B84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602DB842" w14:textId="1E0A19A4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942DDB">
        <w:rPr>
          <w:rFonts w:ascii="Times New Roman" w:eastAsia="標楷體" w:hAnsi="Times New Roman"/>
        </w:rPr>
        <w:t>2</w:t>
      </w:r>
      <w:r w:rsidR="00A05998">
        <w:rPr>
          <w:rFonts w:ascii="Times New Roman" w:eastAsia="標楷體" w:hAnsi="Times New Roman" w:hint="eastAsia"/>
        </w:rPr>
        <w:t>01</w:t>
      </w:r>
      <w:r w:rsidR="007B2611">
        <w:rPr>
          <w:rFonts w:ascii="Times New Roman" w:eastAsia="標楷體" w:hAnsi="Times New Roman" w:hint="eastAsia"/>
        </w:rPr>
        <w:t>8</w:t>
      </w:r>
      <w:r w:rsidR="00DA0BD0" w:rsidRPr="00942DDB">
        <w:rPr>
          <w:rFonts w:ascii="Times New Roman" w:eastAsia="標楷體" w:hint="eastAsia"/>
        </w:rPr>
        <w:t>年</w:t>
      </w:r>
      <w:r w:rsidR="002456F4" w:rsidRPr="00942DDB">
        <w:rPr>
          <w:rFonts w:ascii="Times New Roman" w:eastAsia="標楷體" w:hint="eastAsia"/>
        </w:rPr>
        <w:t>中鋼</w:t>
      </w:r>
      <w:r w:rsidRPr="00942DDB">
        <w:rPr>
          <w:rFonts w:ascii="Times New Roman" w:eastAsia="標楷體"/>
        </w:rPr>
        <w:t>企業社會責任報告書</w:t>
      </w:r>
    </w:p>
    <w:p w14:paraId="5502A21A" w14:textId="77777777" w:rsidR="00A05998" w:rsidRDefault="00A05998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</w:p>
    <w:p w14:paraId="6111AF63" w14:textId="63AB6767" w:rsidR="00FE54FA" w:rsidRDefault="00186C16" w:rsidP="00B21167">
      <w:pPr>
        <w:snapToGrid w:val="0"/>
        <w:rPr>
          <w:rFonts w:ascii="Times New Roman" w:eastAsia="標楷體" w:hAnsi="Times New Roman"/>
          <w:i/>
          <w:sz w:val="28"/>
        </w:rPr>
      </w:pPr>
      <w:r w:rsidRPr="005655F5">
        <w:rPr>
          <w:rFonts w:ascii="Times New Roman" w:eastAsia="標楷體" w:hAnsi="Times New Roman" w:hint="eastAsia"/>
          <w:i/>
          <w:sz w:val="28"/>
        </w:rPr>
        <w:t>中</w:t>
      </w:r>
      <w:r w:rsidR="005655F5" w:rsidRPr="005655F5">
        <w:rPr>
          <w:rFonts w:ascii="Times New Roman" w:eastAsia="標楷體" w:hAnsi="Times New Roman" w:hint="eastAsia"/>
          <w:i/>
          <w:sz w:val="28"/>
        </w:rPr>
        <w:t>鋼</w:t>
      </w:r>
      <w:r w:rsidR="00695B84">
        <w:rPr>
          <w:rFonts w:ascii="Times New Roman" w:eastAsia="標楷體" w:hAnsi="Times New Roman" w:hint="eastAsia"/>
          <w:i/>
          <w:sz w:val="28"/>
        </w:rPr>
        <w:t>將永續目標放入年度經營方針及目標執行成果</w:t>
      </w:r>
      <w:r w:rsidR="00695B84">
        <w:rPr>
          <w:rFonts w:ascii="Times New Roman" w:eastAsia="標楷體" w:hAnsi="Times New Roman" w:hint="eastAsia"/>
          <w:i/>
          <w:sz w:val="28"/>
        </w:rPr>
        <w:t>(</w:t>
      </w:r>
      <w:r w:rsidR="00695B84">
        <w:rPr>
          <w:rFonts w:ascii="Times New Roman" w:eastAsia="標楷體" w:hAnsi="Times New Roman" w:hint="eastAsia"/>
          <w:i/>
          <w:sz w:val="28"/>
        </w:rPr>
        <w:t>短期</w:t>
      </w:r>
      <w:r w:rsidR="00695B84">
        <w:rPr>
          <w:rFonts w:ascii="Times New Roman" w:eastAsia="標楷體" w:hAnsi="Times New Roman" w:hint="eastAsia"/>
          <w:i/>
          <w:sz w:val="28"/>
        </w:rPr>
        <w:t>)</w:t>
      </w:r>
      <w:r w:rsidR="00695B84">
        <w:rPr>
          <w:rFonts w:ascii="Times New Roman" w:eastAsia="標楷體" w:hAnsi="Times New Roman" w:hint="eastAsia"/>
          <w:i/>
          <w:sz w:val="28"/>
        </w:rPr>
        <w:t>、五年經營策略主軸</w:t>
      </w:r>
      <w:r w:rsidR="00695B84">
        <w:rPr>
          <w:rFonts w:ascii="Times New Roman" w:eastAsia="標楷體" w:hAnsi="Times New Roman" w:hint="eastAsia"/>
          <w:i/>
          <w:sz w:val="28"/>
        </w:rPr>
        <w:t>(</w:t>
      </w:r>
      <w:r w:rsidR="00695B84">
        <w:rPr>
          <w:rFonts w:ascii="Times New Roman" w:eastAsia="標楷體" w:hAnsi="Times New Roman" w:hint="eastAsia"/>
          <w:i/>
          <w:sz w:val="28"/>
        </w:rPr>
        <w:t>中期</w:t>
      </w:r>
      <w:r w:rsidR="00695B84">
        <w:rPr>
          <w:rFonts w:ascii="Times New Roman" w:eastAsia="標楷體" w:hAnsi="Times New Roman" w:hint="eastAsia"/>
          <w:i/>
          <w:sz w:val="28"/>
        </w:rPr>
        <w:t>)</w:t>
      </w:r>
      <w:r w:rsidR="00695B84">
        <w:rPr>
          <w:rFonts w:ascii="Times New Roman" w:eastAsia="標楷體" w:hAnsi="Times New Roman" w:hint="eastAsia"/>
          <w:i/>
          <w:sz w:val="28"/>
        </w:rPr>
        <w:t>中。同時納入風險評估及重大衝擊辨識流程，</w:t>
      </w:r>
      <w:r w:rsidR="008A7C4C">
        <w:rPr>
          <w:rFonts w:ascii="Times New Roman" w:eastAsia="標楷體" w:hAnsi="Times New Roman" w:hint="eastAsia"/>
          <w:i/>
          <w:sz w:val="28"/>
        </w:rPr>
        <w:t>並對相關風險及衝擊採取措施</w:t>
      </w:r>
      <w:bookmarkStart w:id="0" w:name="_GoBack"/>
      <w:bookmarkEnd w:id="0"/>
    </w:p>
    <w:p w14:paraId="7E825109" w14:textId="77777777" w:rsidR="00A05998" w:rsidRPr="00A05998" w:rsidRDefault="00A05998" w:rsidP="00D94472">
      <w:pPr>
        <w:snapToGrid w:val="0"/>
        <w:spacing w:beforeLines="50" w:before="180" w:line="300" w:lineRule="auto"/>
        <w:ind w:left="1"/>
        <w:rPr>
          <w:rFonts w:ascii="Times New Roman" w:eastAsia="標楷體" w:hAnsi="Times New Roman"/>
          <w:i/>
          <w:sz w:val="28"/>
        </w:rPr>
      </w:pPr>
    </w:p>
    <w:p w14:paraId="686BD1EF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2456F4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B61ADD8" w14:textId="77777777" w:rsidR="00B368B3" w:rsidRPr="00B368B3" w:rsidRDefault="00B368B3" w:rsidP="00A05998">
      <w:pPr>
        <w:pStyle w:val="Web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B368B3">
        <w:rPr>
          <w:rFonts w:ascii="Times New Roman" w:eastAsia="標楷體" w:hAnsi="Times New Roman" w:hint="eastAsia"/>
          <w:sz w:val="28"/>
        </w:rPr>
        <w:t>中國鋼鐵股份有限公司於民國</w:t>
      </w:r>
      <w:r w:rsidRPr="00B368B3">
        <w:rPr>
          <w:rFonts w:ascii="Times New Roman" w:eastAsia="標楷體" w:hAnsi="Times New Roman" w:hint="eastAsia"/>
          <w:sz w:val="28"/>
        </w:rPr>
        <w:t>60</w:t>
      </w:r>
      <w:r w:rsidRPr="00B368B3">
        <w:rPr>
          <w:rFonts w:ascii="Times New Roman" w:eastAsia="標楷體" w:hAnsi="Times New Roman" w:hint="eastAsia"/>
          <w:sz w:val="28"/>
        </w:rPr>
        <w:t>年</w:t>
      </w:r>
      <w:r w:rsidRPr="00B368B3">
        <w:rPr>
          <w:rFonts w:ascii="Times New Roman" w:eastAsia="標楷體" w:hAnsi="Times New Roman" w:hint="eastAsia"/>
          <w:sz w:val="28"/>
        </w:rPr>
        <w:t>12</w:t>
      </w:r>
      <w:r w:rsidRPr="00B368B3">
        <w:rPr>
          <w:rFonts w:ascii="Times New Roman" w:eastAsia="標楷體" w:hAnsi="Times New Roman" w:hint="eastAsia"/>
          <w:sz w:val="28"/>
        </w:rPr>
        <w:t>月，主要產品為鋼板、條鋼、線材、熱軋、冷軋、電鍍鋅鋼捲、電磁鋼捲及熱浸鍍鋅鋼捲等鋼品，以及鈦基</w:t>
      </w:r>
      <w:r w:rsidRPr="00B368B3">
        <w:rPr>
          <w:rFonts w:ascii="Times New Roman" w:eastAsia="標楷體" w:hAnsi="Times New Roman" w:hint="eastAsia"/>
          <w:sz w:val="28"/>
        </w:rPr>
        <w:t>/</w:t>
      </w:r>
      <w:r w:rsidRPr="00B368B3">
        <w:rPr>
          <w:rFonts w:ascii="Times New Roman" w:eastAsia="標楷體" w:hAnsi="Times New Roman" w:hint="eastAsia"/>
          <w:sz w:val="28"/>
        </w:rPr>
        <w:t>鎳基合金。產品約</w:t>
      </w:r>
      <w:r w:rsidRPr="00B368B3">
        <w:rPr>
          <w:rFonts w:ascii="Times New Roman" w:eastAsia="標楷體" w:hAnsi="Times New Roman" w:hint="eastAsia"/>
          <w:sz w:val="28"/>
        </w:rPr>
        <w:t>69%</w:t>
      </w:r>
      <w:r w:rsidRPr="00B368B3">
        <w:rPr>
          <w:rFonts w:ascii="Times New Roman" w:eastAsia="標楷體" w:hAnsi="Times New Roman" w:hint="eastAsia"/>
          <w:sz w:val="28"/>
        </w:rPr>
        <w:t>內銷，</w:t>
      </w:r>
      <w:r w:rsidRPr="00B368B3">
        <w:rPr>
          <w:rFonts w:ascii="Times New Roman" w:eastAsia="標楷體" w:hAnsi="Times New Roman" w:hint="eastAsia"/>
          <w:sz w:val="28"/>
        </w:rPr>
        <w:t>31%</w:t>
      </w:r>
      <w:r w:rsidRPr="00B368B3">
        <w:rPr>
          <w:rFonts w:ascii="Times New Roman" w:eastAsia="標楷體" w:hAnsi="Times New Roman" w:hint="eastAsia"/>
          <w:sz w:val="28"/>
        </w:rPr>
        <w:t>外銷，國內市占率逾</w:t>
      </w:r>
      <w:r w:rsidRPr="00B368B3">
        <w:rPr>
          <w:rFonts w:ascii="Times New Roman" w:eastAsia="標楷體" w:hAnsi="Times New Roman" w:hint="eastAsia"/>
          <w:sz w:val="28"/>
        </w:rPr>
        <w:t>50%</w:t>
      </w:r>
      <w:r w:rsidRPr="00B368B3">
        <w:rPr>
          <w:rFonts w:ascii="Times New Roman" w:eastAsia="標楷體" w:hAnsi="Times New Roman" w:hint="eastAsia"/>
          <w:sz w:val="28"/>
        </w:rPr>
        <w:t>，為目前國內最大鋼鐵公司；外銷主要對象為中國大陸</w:t>
      </w:r>
      <w:r w:rsidRPr="00B368B3">
        <w:rPr>
          <w:rFonts w:ascii="Times New Roman" w:eastAsia="標楷體" w:hAnsi="Times New Roman" w:hint="eastAsia"/>
          <w:sz w:val="28"/>
        </w:rPr>
        <w:t>(</w:t>
      </w:r>
      <w:r w:rsidRPr="00B368B3">
        <w:rPr>
          <w:rFonts w:ascii="Times New Roman" w:eastAsia="標楷體" w:hAnsi="Times New Roman" w:hint="eastAsia"/>
          <w:sz w:val="28"/>
        </w:rPr>
        <w:t>含香港</w:t>
      </w:r>
      <w:r w:rsidRPr="00B368B3">
        <w:rPr>
          <w:rFonts w:ascii="Times New Roman" w:eastAsia="標楷體" w:hAnsi="Times New Roman" w:hint="eastAsia"/>
          <w:sz w:val="28"/>
        </w:rPr>
        <w:t>)</w:t>
      </w:r>
      <w:r w:rsidRPr="00B368B3">
        <w:rPr>
          <w:rFonts w:ascii="Times New Roman" w:eastAsia="標楷體" w:hAnsi="Times New Roman" w:hint="eastAsia"/>
          <w:sz w:val="28"/>
        </w:rPr>
        <w:t>、日本、東南亞。</w:t>
      </w:r>
    </w:p>
    <w:p w14:paraId="3D570026" w14:textId="77777777" w:rsidR="00B368B3" w:rsidRDefault="00B368B3" w:rsidP="00A05998">
      <w:pPr>
        <w:pStyle w:val="Web"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kern w:val="2"/>
          <w:sz w:val="28"/>
          <w:szCs w:val="22"/>
        </w:rPr>
      </w:pP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中鋼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曾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獲選道瓊世界永續指數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(DJSI)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>
        <w:rPr>
          <w:rFonts w:ascii="Times New Roman" w:eastAsia="標楷體" w:hAnsi="Times New Roman" w:cs="Times New Roman"/>
          <w:kern w:val="2"/>
          <w:sz w:val="28"/>
          <w:szCs w:val="22"/>
        </w:rPr>
        <w:t>企業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、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106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年獲選富時社會責任指數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(FTSE4Good Emerging Index)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成分股。另外，本公司也於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103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至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107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年間，獲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DJSI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RobecoSAM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評選為國際鋼鐵業的產業領袖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(Industry Leader)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、金獎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(Gold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及銀獎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(Silver Class)</w:t>
      </w:r>
      <w:r w:rsidRPr="00B368B3">
        <w:rPr>
          <w:rFonts w:ascii="Times New Roman" w:eastAsia="標楷體" w:hAnsi="Times New Roman" w:cs="Times New Roman"/>
          <w:kern w:val="2"/>
          <w:sz w:val="28"/>
          <w:szCs w:val="22"/>
        </w:rPr>
        <w:t>企業等榮譽</w:t>
      </w:r>
      <w:r>
        <w:rPr>
          <w:rFonts w:ascii="Times New Roman" w:eastAsia="標楷體" w:hAnsi="Times New Roman" w:cs="Times New Roman" w:hint="eastAsia"/>
          <w:kern w:val="2"/>
          <w:sz w:val="28"/>
          <w:szCs w:val="22"/>
        </w:rPr>
        <w:t>。</w:t>
      </w:r>
    </w:p>
    <w:p w14:paraId="4DAD92FC" w14:textId="77777777" w:rsidR="00B368B3" w:rsidRPr="00B368B3" w:rsidRDefault="00B368B3" w:rsidP="00A0599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sz w:val="28"/>
        </w:rPr>
        <w:t>近年來，</w:t>
      </w:r>
      <w:r w:rsidRPr="00B368B3">
        <w:rPr>
          <w:rFonts w:ascii="Times New Roman" w:eastAsia="標楷體" w:hAnsi="Times New Roman"/>
          <w:sz w:val="28"/>
        </w:rPr>
        <w:t>中鋼為發揮經營綜效</w:t>
      </w:r>
      <w:r>
        <w:rPr>
          <w:rFonts w:ascii="Times New Roman" w:eastAsia="標楷體" w:hAnsi="Times New Roman" w:hint="eastAsia"/>
          <w:sz w:val="28"/>
        </w:rPr>
        <w:t>而</w:t>
      </w:r>
      <w:r w:rsidRPr="00B368B3">
        <w:rPr>
          <w:rFonts w:ascii="Times New Roman" w:eastAsia="標楷體" w:hAnsi="Times New Roman"/>
          <w:sz w:val="28"/>
        </w:rPr>
        <w:t>多角化經營，目前轉投資事業共有</w:t>
      </w:r>
      <w:r w:rsidRPr="00B368B3">
        <w:rPr>
          <w:rFonts w:ascii="Times New Roman" w:eastAsia="標楷體" w:hAnsi="Times New Roman"/>
          <w:sz w:val="28"/>
        </w:rPr>
        <w:t>26</w:t>
      </w:r>
      <w:r w:rsidRPr="00B368B3">
        <w:rPr>
          <w:rFonts w:ascii="Times New Roman" w:eastAsia="標楷體" w:hAnsi="Times New Roman"/>
          <w:sz w:val="28"/>
        </w:rPr>
        <w:t>家，業務範圍涵蓋鋼鐵核心、工程事業、工業材料、物流事業，以及服務投資等五大事業群。</w:t>
      </w:r>
    </w:p>
    <w:p w14:paraId="16ECBDF1" w14:textId="77777777" w:rsidR="00A05998" w:rsidRDefault="00A0599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07DF91B3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26E52591" w14:textId="697DD2CE" w:rsidR="007B2611" w:rsidRPr="00B83210" w:rsidRDefault="009A023E" w:rsidP="007B2611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9A023E">
        <w:rPr>
          <w:rFonts w:ascii="Times New Roman" w:eastAsia="標楷體" w:hAnsi="Times New Roman" w:hint="eastAsia"/>
          <w:sz w:val="28"/>
        </w:rPr>
        <w:t>中鋼</w:t>
      </w:r>
      <w:r w:rsidR="00295428">
        <w:rPr>
          <w:rFonts w:ascii="Times New Roman" w:eastAsia="標楷體" w:hAnsi="Times New Roman" w:hint="eastAsia"/>
          <w:sz w:val="28"/>
        </w:rPr>
        <w:t>將永續目標作為經營策略考量的一環，於短中期目標的描述中皆有對職業安全衛生、碳排、能源管理等內容，並每年追蹤整理績效與上一年度所制定之目標比較。</w:t>
      </w:r>
    </w:p>
    <w:p w14:paraId="42C4BF68" w14:textId="3D2393ED" w:rsidR="004460B5" w:rsidRDefault="0029542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noProof/>
          <w:sz w:val="28"/>
        </w:rPr>
        <w:drawing>
          <wp:inline distT="0" distB="0" distL="0" distR="0" wp14:anchorId="190FF790" wp14:editId="14991274">
            <wp:extent cx="5273675" cy="4450715"/>
            <wp:effectExtent l="0" t="0" r="3175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45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EAFBC" w14:textId="32F65C12" w:rsidR="00295428" w:rsidRDefault="0029542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中鋼在風險衝擊評估時，除了一般貿易、材料風險外，亦將溫室氣體作為未來可能之重大衝擊並制定相關</w:t>
      </w:r>
      <w:r w:rsidR="00226C59">
        <w:rPr>
          <w:rFonts w:ascii="Times New Roman" w:eastAsia="標楷體" w:hAnsi="Times New Roman" w:hint="eastAsia"/>
          <w:sz w:val="28"/>
        </w:rPr>
        <w:t>因應措施，降低發生衝擊</w:t>
      </w:r>
      <w:r>
        <w:rPr>
          <w:rFonts w:ascii="Times New Roman" w:eastAsia="標楷體" w:hAnsi="Times New Roman" w:hint="eastAsia"/>
          <w:sz w:val="28"/>
        </w:rPr>
        <w:t>。</w:t>
      </w:r>
    </w:p>
    <w:p w14:paraId="1113DF3C" w14:textId="2C769D68" w:rsidR="00695B84" w:rsidRDefault="00695B84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2626D739" wp14:editId="24094919">
            <wp:extent cx="5274310" cy="6228715"/>
            <wp:effectExtent l="0" t="0" r="254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157CD" w14:textId="19C1E4D5" w:rsidR="00295428" w:rsidRPr="00B83210" w:rsidRDefault="0029542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295428" w:rsidRPr="00B8321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BCC0" w14:textId="77777777" w:rsidR="00F5303B" w:rsidRDefault="00F5303B" w:rsidP="00256F30">
      <w:r>
        <w:separator/>
      </w:r>
    </w:p>
  </w:endnote>
  <w:endnote w:type="continuationSeparator" w:id="0">
    <w:p w14:paraId="333F7422" w14:textId="77777777" w:rsidR="00F5303B" w:rsidRDefault="00F5303B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0A29" w14:textId="77777777" w:rsidR="00F5303B" w:rsidRDefault="00F5303B" w:rsidP="00256F30">
      <w:r>
        <w:separator/>
      </w:r>
    </w:p>
  </w:footnote>
  <w:footnote w:type="continuationSeparator" w:id="0">
    <w:p w14:paraId="30D2329B" w14:textId="77777777" w:rsidR="00F5303B" w:rsidRDefault="00F5303B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1AEE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C1A5A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26C59"/>
    <w:rsid w:val="00237CB8"/>
    <w:rsid w:val="002456F4"/>
    <w:rsid w:val="002531D5"/>
    <w:rsid w:val="00254A72"/>
    <w:rsid w:val="00256F30"/>
    <w:rsid w:val="00257721"/>
    <w:rsid w:val="00286398"/>
    <w:rsid w:val="0029542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282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60B5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655F5"/>
    <w:rsid w:val="00573627"/>
    <w:rsid w:val="0057608A"/>
    <w:rsid w:val="005C0296"/>
    <w:rsid w:val="005C1E4E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5B84"/>
    <w:rsid w:val="006A5D9F"/>
    <w:rsid w:val="006B5622"/>
    <w:rsid w:val="006B6B5D"/>
    <w:rsid w:val="006D6092"/>
    <w:rsid w:val="006D71F4"/>
    <w:rsid w:val="006D7CDB"/>
    <w:rsid w:val="006F0A0D"/>
    <w:rsid w:val="006F6BE5"/>
    <w:rsid w:val="0071650E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A7799"/>
    <w:rsid w:val="007B2611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7C4C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2551"/>
    <w:rsid w:val="00925989"/>
    <w:rsid w:val="00933283"/>
    <w:rsid w:val="00933C9A"/>
    <w:rsid w:val="00942DDB"/>
    <w:rsid w:val="00946489"/>
    <w:rsid w:val="00955D27"/>
    <w:rsid w:val="009735C4"/>
    <w:rsid w:val="0098770C"/>
    <w:rsid w:val="009A023E"/>
    <w:rsid w:val="009B0984"/>
    <w:rsid w:val="009B141E"/>
    <w:rsid w:val="009C3C9F"/>
    <w:rsid w:val="009D0A0B"/>
    <w:rsid w:val="009E572E"/>
    <w:rsid w:val="009F68CB"/>
    <w:rsid w:val="00A05663"/>
    <w:rsid w:val="00A05998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1167"/>
    <w:rsid w:val="00B234C0"/>
    <w:rsid w:val="00B23F83"/>
    <w:rsid w:val="00B34568"/>
    <w:rsid w:val="00B3591A"/>
    <w:rsid w:val="00B368B3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3210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3813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303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5F5AFC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unhideWhenUsed/>
    <w:rsid w:val="00B368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9A5C-69BE-4480-AFB4-049ECED9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7</cp:revision>
  <dcterms:created xsi:type="dcterms:W3CDTF">2019-01-04T08:21:00Z</dcterms:created>
  <dcterms:modified xsi:type="dcterms:W3CDTF">2020-01-09T06:03:00Z</dcterms:modified>
</cp:coreProperties>
</file>