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DBF" w:rsidRPr="000C014F" w:rsidRDefault="002456F4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 w:hint="eastAsia"/>
          <w:sz w:val="32"/>
          <w:szCs w:val="28"/>
        </w:rPr>
        <w:t>中鋼</w:t>
      </w:r>
      <w:r w:rsidR="005F72AE" w:rsidRPr="000C014F">
        <w:rPr>
          <w:rFonts w:ascii="Times New Roman" w:eastAsia="標楷體" w:hAnsi="Times New Roman" w:hint="eastAsia"/>
          <w:sz w:val="32"/>
          <w:szCs w:val="28"/>
        </w:rPr>
        <w:t>的</w:t>
      </w:r>
      <w:bookmarkStart w:id="0" w:name="_GoBack"/>
      <w:r w:rsidR="00A05998">
        <w:rPr>
          <w:rFonts w:ascii="Times New Roman" w:eastAsia="標楷體" w:hAnsi="Times New Roman" w:hint="eastAsia"/>
          <w:sz w:val="28"/>
        </w:rPr>
        <w:t>SDG</w:t>
      </w:r>
      <w:r w:rsidR="00A05998">
        <w:rPr>
          <w:rFonts w:ascii="Times New Roman" w:eastAsia="標楷體" w:hAnsi="Times New Roman"/>
          <w:sz w:val="28"/>
        </w:rPr>
        <w:t>s</w:t>
      </w:r>
      <w:r w:rsidR="00A05998">
        <w:rPr>
          <w:rFonts w:ascii="Times New Roman" w:eastAsia="標楷體" w:hAnsi="Times New Roman" w:hint="eastAsia"/>
          <w:sz w:val="28"/>
        </w:rPr>
        <w:t>作為</w:t>
      </w:r>
      <w:bookmarkEnd w:id="0"/>
    </w:p>
    <w:p w:rsidR="008D1DBF" w:rsidRPr="000C014F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71650E">
        <w:rPr>
          <w:rFonts w:ascii="Times New Roman" w:eastAsia="標楷體" w:hAnsi="Times New Roman" w:hint="eastAsia"/>
          <w:sz w:val="28"/>
          <w:szCs w:val="28"/>
        </w:rPr>
        <w:t>第</w:t>
      </w:r>
      <w:r w:rsidR="00444F98" w:rsidRPr="0071650E">
        <w:rPr>
          <w:rFonts w:ascii="Times New Roman" w:eastAsia="標楷體" w:hAnsi="Times New Roman" w:hint="eastAsia"/>
          <w:sz w:val="28"/>
          <w:szCs w:val="28"/>
        </w:rPr>
        <w:t>七</w:t>
      </w:r>
      <w:r w:rsidRPr="0071650E">
        <w:rPr>
          <w:rFonts w:ascii="Times New Roman" w:eastAsia="標楷體" w:hAnsi="Times New Roman" w:hint="eastAsia"/>
          <w:sz w:val="28"/>
          <w:szCs w:val="28"/>
        </w:rPr>
        <w:t>條</w:t>
      </w:r>
      <w:r w:rsidRPr="0071650E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71650E">
        <w:rPr>
          <w:rFonts w:ascii="Times New Roman" w:eastAsia="標楷體" w:hAnsi="Times New Roman"/>
          <w:sz w:val="28"/>
          <w:szCs w:val="28"/>
        </w:rPr>
        <w:t>等</w:t>
      </w:r>
      <w:r w:rsidR="008D1DBF" w:rsidRPr="000C014F">
        <w:rPr>
          <w:rFonts w:ascii="Times New Roman" w:eastAsia="標楷體" w:hAnsi="Times New Roman"/>
          <w:sz w:val="28"/>
          <w:szCs w:val="28"/>
        </w:rPr>
        <w:t>級：</w:t>
      </w:r>
      <w:r w:rsidR="00A05998">
        <w:rPr>
          <w:rFonts w:ascii="Times New Roman" w:eastAsia="標楷體" w:hAnsi="Times New Roman" w:hint="eastAsia"/>
          <w:sz w:val="28"/>
          <w:szCs w:val="28"/>
        </w:rPr>
        <w:t>領先</w:t>
      </w:r>
    </w:p>
    <w:p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0C014F">
        <w:rPr>
          <w:rFonts w:ascii="Times New Roman" w:eastAsia="標楷體" w:hint="eastAsia"/>
        </w:rPr>
        <w:t>資料來源：</w:t>
      </w:r>
      <w:r w:rsidR="006D7CDB" w:rsidRPr="00942DDB">
        <w:rPr>
          <w:rFonts w:ascii="Times New Roman" w:eastAsia="標楷體" w:hAnsi="Times New Roman"/>
        </w:rPr>
        <w:t>2</w:t>
      </w:r>
      <w:r w:rsidR="00A05998">
        <w:rPr>
          <w:rFonts w:ascii="Times New Roman" w:eastAsia="標楷體" w:hAnsi="Times New Roman" w:hint="eastAsia"/>
        </w:rPr>
        <w:t>017</w:t>
      </w:r>
      <w:r w:rsidR="00DA0BD0" w:rsidRPr="00942DDB">
        <w:rPr>
          <w:rFonts w:ascii="Times New Roman" w:eastAsia="標楷體" w:hint="eastAsia"/>
        </w:rPr>
        <w:t>年</w:t>
      </w:r>
      <w:r w:rsidR="002456F4" w:rsidRPr="00942DDB">
        <w:rPr>
          <w:rFonts w:ascii="Times New Roman" w:eastAsia="標楷體" w:hint="eastAsia"/>
        </w:rPr>
        <w:t>中鋼</w:t>
      </w:r>
      <w:r w:rsidRPr="00942DDB">
        <w:rPr>
          <w:rFonts w:ascii="Times New Roman" w:eastAsia="標楷體"/>
        </w:rPr>
        <w:t>企業社會責任報告書</w:t>
      </w:r>
    </w:p>
    <w:p w:rsidR="00A05998" w:rsidRDefault="00A05998" w:rsidP="00D94472">
      <w:pPr>
        <w:snapToGrid w:val="0"/>
        <w:spacing w:beforeLines="50" w:before="180" w:line="300" w:lineRule="auto"/>
        <w:ind w:left="1"/>
        <w:rPr>
          <w:rFonts w:ascii="Times New Roman" w:eastAsia="標楷體" w:hAnsi="Times New Roman"/>
          <w:i/>
          <w:sz w:val="28"/>
        </w:rPr>
      </w:pPr>
    </w:p>
    <w:p w:rsidR="00FE54FA" w:rsidRDefault="00186C16" w:rsidP="00D94472">
      <w:pPr>
        <w:snapToGrid w:val="0"/>
        <w:spacing w:beforeLines="50" w:before="180" w:line="300" w:lineRule="auto"/>
        <w:ind w:left="1"/>
        <w:rPr>
          <w:rFonts w:ascii="Times New Roman" w:eastAsia="標楷體" w:hAnsi="Times New Roman" w:hint="eastAsia"/>
          <w:i/>
          <w:sz w:val="28"/>
        </w:rPr>
      </w:pPr>
      <w:r w:rsidRPr="005655F5">
        <w:rPr>
          <w:rFonts w:ascii="Times New Roman" w:eastAsia="標楷體" w:hAnsi="Times New Roman" w:hint="eastAsia"/>
          <w:i/>
          <w:sz w:val="28"/>
        </w:rPr>
        <w:t>中</w:t>
      </w:r>
      <w:r w:rsidR="005655F5" w:rsidRPr="005655F5">
        <w:rPr>
          <w:rFonts w:ascii="Times New Roman" w:eastAsia="標楷體" w:hAnsi="Times New Roman" w:hint="eastAsia"/>
          <w:i/>
          <w:sz w:val="28"/>
        </w:rPr>
        <w:t>鋼</w:t>
      </w:r>
      <w:r w:rsidR="00343282">
        <w:rPr>
          <w:rFonts w:ascii="Times New Roman" w:eastAsia="標楷體" w:hAnsi="Times New Roman" w:hint="eastAsia"/>
          <w:i/>
          <w:sz w:val="28"/>
        </w:rPr>
        <w:t>清楚定義其</w:t>
      </w:r>
      <w:r w:rsidR="005655F5">
        <w:rPr>
          <w:rFonts w:ascii="Times New Roman" w:eastAsia="標楷體" w:hAnsi="Times New Roman" w:hint="eastAsia"/>
          <w:i/>
          <w:sz w:val="28"/>
        </w:rPr>
        <w:t>經營方針、願景、發展規劃</w:t>
      </w:r>
      <w:r w:rsidR="00343282">
        <w:rPr>
          <w:rFonts w:ascii="Times New Roman" w:eastAsia="標楷體" w:hAnsi="Times New Roman" w:hint="eastAsia"/>
          <w:i/>
          <w:sz w:val="28"/>
        </w:rPr>
        <w:t>，並</w:t>
      </w:r>
      <w:r w:rsidR="005655F5">
        <w:rPr>
          <w:rFonts w:ascii="Times New Roman" w:eastAsia="標楷體" w:hAnsi="Times New Roman" w:hint="eastAsia"/>
          <w:i/>
          <w:sz w:val="28"/>
        </w:rPr>
        <w:t>將</w:t>
      </w:r>
      <w:r w:rsidR="00343282">
        <w:rPr>
          <w:rFonts w:ascii="Times New Roman" w:eastAsia="標楷體" w:hAnsi="Times New Roman" w:hint="eastAsia"/>
          <w:i/>
          <w:sz w:val="28"/>
        </w:rPr>
        <w:t>上述之</w:t>
      </w:r>
      <w:r w:rsidR="005655F5">
        <w:rPr>
          <w:rFonts w:ascii="Times New Roman" w:eastAsia="標楷體" w:hAnsi="Times New Roman" w:hint="eastAsia"/>
          <w:i/>
          <w:sz w:val="28"/>
        </w:rPr>
        <w:t>產生績效及其作為對應全球永續發展目標</w:t>
      </w:r>
      <w:r w:rsidR="005655F5">
        <w:rPr>
          <w:rFonts w:ascii="Times New Roman" w:eastAsia="標楷體" w:hAnsi="Times New Roman" w:hint="eastAsia"/>
          <w:i/>
          <w:sz w:val="28"/>
        </w:rPr>
        <w:t>(SDG</w:t>
      </w:r>
      <w:r w:rsidR="005655F5">
        <w:rPr>
          <w:rFonts w:ascii="Times New Roman" w:eastAsia="標楷體" w:hAnsi="Times New Roman"/>
          <w:i/>
          <w:sz w:val="28"/>
        </w:rPr>
        <w:t>s)</w:t>
      </w:r>
      <w:r w:rsidR="00A05998">
        <w:rPr>
          <w:rFonts w:ascii="Times New Roman" w:eastAsia="標楷體" w:hAnsi="Times New Roman" w:hint="eastAsia"/>
          <w:i/>
          <w:sz w:val="28"/>
        </w:rPr>
        <w:t>。報告書受到第三方認證，以確保內容之正確性</w:t>
      </w:r>
    </w:p>
    <w:p w:rsidR="00A05998" w:rsidRPr="00A05998" w:rsidRDefault="00A05998" w:rsidP="00D94472">
      <w:pPr>
        <w:snapToGrid w:val="0"/>
        <w:spacing w:beforeLines="50" w:before="180" w:line="300" w:lineRule="auto"/>
        <w:ind w:left="1"/>
        <w:rPr>
          <w:rFonts w:ascii="Times New Roman" w:eastAsia="標楷體" w:hAnsi="Times New Roman"/>
          <w:i/>
          <w:sz w:val="28"/>
        </w:rPr>
      </w:pPr>
    </w:p>
    <w:p w:rsidR="00C27C75" w:rsidRPr="007F7E79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2456F4">
        <w:rPr>
          <w:rFonts w:ascii="Times New Roman" w:eastAsia="標楷體" w:hAnsi="Times New Roman"/>
          <w:b/>
          <w:sz w:val="28"/>
          <w:szCs w:val="24"/>
        </w:rPr>
        <w:t>企業概述</w:t>
      </w:r>
    </w:p>
    <w:p w:rsidR="00B368B3" w:rsidRPr="00B368B3" w:rsidRDefault="00B368B3" w:rsidP="00A05998">
      <w:pPr>
        <w:pStyle w:val="Web"/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kern w:val="2"/>
          <w:sz w:val="28"/>
          <w:szCs w:val="22"/>
        </w:rPr>
      </w:pPr>
      <w:r w:rsidRPr="00B368B3">
        <w:rPr>
          <w:rFonts w:ascii="Times New Roman" w:eastAsia="標楷體" w:hAnsi="Times New Roman" w:hint="eastAsia"/>
          <w:sz w:val="28"/>
        </w:rPr>
        <w:t>中國鋼鐵股份有限公司於民國</w:t>
      </w:r>
      <w:r w:rsidRPr="00B368B3">
        <w:rPr>
          <w:rFonts w:ascii="Times New Roman" w:eastAsia="標楷體" w:hAnsi="Times New Roman" w:hint="eastAsia"/>
          <w:sz w:val="28"/>
        </w:rPr>
        <w:t>60</w:t>
      </w:r>
      <w:r w:rsidRPr="00B368B3">
        <w:rPr>
          <w:rFonts w:ascii="Times New Roman" w:eastAsia="標楷體" w:hAnsi="Times New Roman" w:hint="eastAsia"/>
          <w:sz w:val="28"/>
        </w:rPr>
        <w:t>年</w:t>
      </w:r>
      <w:r w:rsidRPr="00B368B3">
        <w:rPr>
          <w:rFonts w:ascii="Times New Roman" w:eastAsia="標楷體" w:hAnsi="Times New Roman" w:hint="eastAsia"/>
          <w:sz w:val="28"/>
        </w:rPr>
        <w:t>12</w:t>
      </w:r>
      <w:r w:rsidRPr="00B368B3">
        <w:rPr>
          <w:rFonts w:ascii="Times New Roman" w:eastAsia="標楷體" w:hAnsi="Times New Roman" w:hint="eastAsia"/>
          <w:sz w:val="28"/>
        </w:rPr>
        <w:t>月，主要產品為鋼板、條鋼、線材、熱軋、冷軋、電鍍鋅鋼捲、電磁鋼捲及熱浸鍍鋅鋼捲等鋼品，以及鈦基</w:t>
      </w:r>
      <w:r w:rsidRPr="00B368B3">
        <w:rPr>
          <w:rFonts w:ascii="Times New Roman" w:eastAsia="標楷體" w:hAnsi="Times New Roman" w:hint="eastAsia"/>
          <w:sz w:val="28"/>
        </w:rPr>
        <w:t>/</w:t>
      </w:r>
      <w:r w:rsidRPr="00B368B3">
        <w:rPr>
          <w:rFonts w:ascii="Times New Roman" w:eastAsia="標楷體" w:hAnsi="Times New Roman" w:hint="eastAsia"/>
          <w:sz w:val="28"/>
        </w:rPr>
        <w:t>鎳基合金。產品約</w:t>
      </w:r>
      <w:r w:rsidRPr="00B368B3">
        <w:rPr>
          <w:rFonts w:ascii="Times New Roman" w:eastAsia="標楷體" w:hAnsi="Times New Roman" w:hint="eastAsia"/>
          <w:sz w:val="28"/>
        </w:rPr>
        <w:t>69%</w:t>
      </w:r>
      <w:r w:rsidRPr="00B368B3">
        <w:rPr>
          <w:rFonts w:ascii="Times New Roman" w:eastAsia="標楷體" w:hAnsi="Times New Roman" w:hint="eastAsia"/>
          <w:sz w:val="28"/>
        </w:rPr>
        <w:t>內銷，</w:t>
      </w:r>
      <w:r w:rsidRPr="00B368B3">
        <w:rPr>
          <w:rFonts w:ascii="Times New Roman" w:eastAsia="標楷體" w:hAnsi="Times New Roman" w:hint="eastAsia"/>
          <w:sz w:val="28"/>
        </w:rPr>
        <w:t>31%</w:t>
      </w:r>
      <w:r w:rsidRPr="00B368B3">
        <w:rPr>
          <w:rFonts w:ascii="Times New Roman" w:eastAsia="標楷體" w:hAnsi="Times New Roman" w:hint="eastAsia"/>
          <w:sz w:val="28"/>
        </w:rPr>
        <w:t>外銷，國內市占率逾</w:t>
      </w:r>
      <w:r w:rsidRPr="00B368B3">
        <w:rPr>
          <w:rFonts w:ascii="Times New Roman" w:eastAsia="標楷體" w:hAnsi="Times New Roman" w:hint="eastAsia"/>
          <w:sz w:val="28"/>
        </w:rPr>
        <w:t>50%</w:t>
      </w:r>
      <w:r w:rsidRPr="00B368B3">
        <w:rPr>
          <w:rFonts w:ascii="Times New Roman" w:eastAsia="標楷體" w:hAnsi="Times New Roman" w:hint="eastAsia"/>
          <w:sz w:val="28"/>
        </w:rPr>
        <w:t>，為目前國內最大鋼鐵公司；外銷主要對象為中國大陸</w:t>
      </w:r>
      <w:r w:rsidRPr="00B368B3">
        <w:rPr>
          <w:rFonts w:ascii="Times New Roman" w:eastAsia="標楷體" w:hAnsi="Times New Roman" w:hint="eastAsia"/>
          <w:sz w:val="28"/>
        </w:rPr>
        <w:t>(</w:t>
      </w:r>
      <w:r w:rsidRPr="00B368B3">
        <w:rPr>
          <w:rFonts w:ascii="Times New Roman" w:eastAsia="標楷體" w:hAnsi="Times New Roman" w:hint="eastAsia"/>
          <w:sz w:val="28"/>
        </w:rPr>
        <w:t>含香港</w:t>
      </w:r>
      <w:r w:rsidRPr="00B368B3">
        <w:rPr>
          <w:rFonts w:ascii="Times New Roman" w:eastAsia="標楷體" w:hAnsi="Times New Roman" w:hint="eastAsia"/>
          <w:sz w:val="28"/>
        </w:rPr>
        <w:t>)</w:t>
      </w:r>
      <w:r w:rsidRPr="00B368B3">
        <w:rPr>
          <w:rFonts w:ascii="Times New Roman" w:eastAsia="標楷體" w:hAnsi="Times New Roman" w:hint="eastAsia"/>
          <w:sz w:val="28"/>
        </w:rPr>
        <w:t>、日本、東南亞。</w:t>
      </w:r>
    </w:p>
    <w:p w:rsidR="00B368B3" w:rsidRDefault="00B368B3" w:rsidP="00A05998">
      <w:pPr>
        <w:pStyle w:val="Web"/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kern w:val="2"/>
          <w:sz w:val="28"/>
          <w:szCs w:val="22"/>
        </w:rPr>
      </w:pP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中鋼</w:t>
      </w:r>
      <w:r>
        <w:rPr>
          <w:rFonts w:ascii="Times New Roman" w:eastAsia="標楷體" w:hAnsi="Times New Roman" w:cs="Times New Roman" w:hint="eastAsia"/>
          <w:kern w:val="2"/>
          <w:sz w:val="28"/>
          <w:szCs w:val="22"/>
        </w:rPr>
        <w:t>曾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獲選道瓊世界永續指數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(DJSI)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產業領袖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(Industry Leader)</w:t>
      </w:r>
      <w:r>
        <w:rPr>
          <w:rFonts w:ascii="Times New Roman" w:eastAsia="標楷體" w:hAnsi="Times New Roman" w:cs="Times New Roman"/>
          <w:kern w:val="2"/>
          <w:sz w:val="28"/>
          <w:szCs w:val="22"/>
        </w:rPr>
        <w:t>企業</w:t>
      </w:r>
      <w:r>
        <w:rPr>
          <w:rFonts w:ascii="Times New Roman" w:eastAsia="標楷體" w:hAnsi="Times New Roman" w:cs="Times New Roman" w:hint="eastAsia"/>
          <w:kern w:val="2"/>
          <w:sz w:val="28"/>
          <w:szCs w:val="22"/>
        </w:rPr>
        <w:t>、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106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年獲選富時社會責任指數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(FTSE4Good Emerging Index)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成分股。另外，本公司也於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103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至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107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年間，獲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DJSI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及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RobecoSAM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評選為國際鋼鐵業的產業領袖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(Industry Leader)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、金獎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(Gold Class)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及銀獎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(Silver Class)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企業等榮譽</w:t>
      </w:r>
      <w:r>
        <w:rPr>
          <w:rFonts w:ascii="Times New Roman" w:eastAsia="標楷體" w:hAnsi="Times New Roman" w:cs="Times New Roman" w:hint="eastAsia"/>
          <w:kern w:val="2"/>
          <w:sz w:val="28"/>
          <w:szCs w:val="22"/>
        </w:rPr>
        <w:t>。</w:t>
      </w:r>
    </w:p>
    <w:p w:rsidR="00B368B3" w:rsidRPr="00B368B3" w:rsidRDefault="00B368B3" w:rsidP="00A05998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sz w:val="28"/>
        </w:rPr>
        <w:t>近年來，</w:t>
      </w:r>
      <w:r w:rsidRPr="00B368B3">
        <w:rPr>
          <w:rFonts w:ascii="Times New Roman" w:eastAsia="標楷體" w:hAnsi="Times New Roman"/>
          <w:sz w:val="28"/>
        </w:rPr>
        <w:t>中鋼為發揮經營綜效</w:t>
      </w:r>
      <w:r>
        <w:rPr>
          <w:rFonts w:ascii="Times New Roman" w:eastAsia="標楷體" w:hAnsi="Times New Roman" w:hint="eastAsia"/>
          <w:sz w:val="28"/>
        </w:rPr>
        <w:t>而</w:t>
      </w:r>
      <w:r w:rsidRPr="00B368B3">
        <w:rPr>
          <w:rFonts w:ascii="Times New Roman" w:eastAsia="標楷體" w:hAnsi="Times New Roman"/>
          <w:sz w:val="28"/>
        </w:rPr>
        <w:t>多角化經營，目前轉投資事業共有</w:t>
      </w:r>
      <w:r w:rsidRPr="00B368B3">
        <w:rPr>
          <w:rFonts w:ascii="Times New Roman" w:eastAsia="標楷體" w:hAnsi="Times New Roman"/>
          <w:sz w:val="28"/>
        </w:rPr>
        <w:t>26</w:t>
      </w:r>
      <w:r w:rsidRPr="00B368B3">
        <w:rPr>
          <w:rFonts w:ascii="Times New Roman" w:eastAsia="標楷體" w:hAnsi="Times New Roman"/>
          <w:sz w:val="28"/>
        </w:rPr>
        <w:t>家，業務範圍涵蓋鋼鐵核心、工程事業、工業材料、物流事業，以及服務投資等五大事業群。</w:t>
      </w:r>
    </w:p>
    <w:p w:rsidR="00A05998" w:rsidRDefault="00A05998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:rsidR="00A05998" w:rsidRDefault="00A05998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:rsidR="008D1DBF" w:rsidRDefault="008D1DB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:rsidR="00922551" w:rsidRDefault="009A023E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9A023E">
        <w:rPr>
          <w:rFonts w:ascii="Times New Roman" w:eastAsia="標楷體" w:hAnsi="Times New Roman" w:hint="eastAsia"/>
          <w:sz w:val="28"/>
        </w:rPr>
        <w:t>中鋼報告書中</w:t>
      </w:r>
      <w:r>
        <w:rPr>
          <w:rFonts w:ascii="Times New Roman" w:eastAsia="標楷體" w:hAnsi="Times New Roman" w:hint="eastAsia"/>
          <w:sz w:val="28"/>
        </w:rPr>
        <w:t>明定其</w:t>
      </w:r>
      <w:r>
        <w:rPr>
          <w:rFonts w:ascii="Times New Roman" w:eastAsia="標楷體" w:hAnsi="Times New Roman" w:hint="eastAsia"/>
          <w:sz w:val="28"/>
        </w:rPr>
        <w:t>107</w:t>
      </w:r>
      <w:r>
        <w:rPr>
          <w:rFonts w:ascii="Times New Roman" w:eastAsia="標楷體" w:hAnsi="Times New Roman" w:hint="eastAsia"/>
          <w:sz w:val="28"/>
        </w:rPr>
        <w:t>年經營方針為「智慧製造，提高產銷效能」、「能源降耗，致力循環經濟」、「創新技術，提升品級品質」、「薪火傳</w:t>
      </w:r>
      <w:r>
        <w:rPr>
          <w:rFonts w:ascii="Times New Roman" w:eastAsia="標楷體" w:hAnsi="Times New Roman" w:hint="eastAsia"/>
          <w:sz w:val="28"/>
        </w:rPr>
        <w:lastRenderedPageBreak/>
        <w:t>承，精進核心價值」，並規劃五年的事業經營策略主軸。</w:t>
      </w:r>
    </w:p>
    <w:p w:rsidR="004460B5" w:rsidRDefault="00B83210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除了依循</w:t>
      </w:r>
      <w:r>
        <w:rPr>
          <w:rFonts w:ascii="Times New Roman" w:eastAsia="標楷體" w:hAnsi="Times New Roman" w:hint="eastAsia"/>
          <w:sz w:val="28"/>
        </w:rPr>
        <w:t>GRI</w:t>
      </w:r>
      <w:r>
        <w:rPr>
          <w:rFonts w:ascii="Times New Roman" w:eastAsia="標楷體" w:hAnsi="Times New Roman" w:hint="eastAsia"/>
          <w:sz w:val="28"/>
        </w:rPr>
        <w:t>準則之外，中鋼更引用</w:t>
      </w:r>
      <w:r>
        <w:rPr>
          <w:rFonts w:ascii="Times New Roman" w:eastAsia="標楷體" w:hAnsi="Times New Roman" w:hint="eastAsia"/>
          <w:sz w:val="28"/>
        </w:rPr>
        <w:t>104</w:t>
      </w:r>
      <w:r>
        <w:rPr>
          <w:rFonts w:ascii="Times New Roman" w:eastAsia="標楷體" w:hAnsi="Times New Roman" w:hint="eastAsia"/>
          <w:sz w:val="28"/>
        </w:rPr>
        <w:t>年經聯合國通過之永續發展目標</w:t>
      </w:r>
      <w:r>
        <w:rPr>
          <w:rFonts w:ascii="Times New Roman" w:eastAsia="標楷體" w:hAnsi="Times New Roman" w:hint="eastAsia"/>
          <w:sz w:val="28"/>
        </w:rPr>
        <w:t>(SDG</w:t>
      </w:r>
      <w:r>
        <w:rPr>
          <w:rFonts w:ascii="Times New Roman" w:eastAsia="標楷體" w:hAnsi="Times New Roman"/>
          <w:sz w:val="28"/>
        </w:rPr>
        <w:t>s)</w:t>
      </w:r>
      <w:r w:rsidR="004460B5">
        <w:rPr>
          <w:rFonts w:ascii="Times New Roman" w:eastAsia="標楷體" w:hAnsi="Times New Roman" w:hint="eastAsia"/>
          <w:sz w:val="28"/>
        </w:rPr>
        <w:t>作為目標及已產生之績效如下。</w:t>
      </w:r>
    </w:p>
    <w:p w:rsidR="004460B5" w:rsidRDefault="004460B5" w:rsidP="005655F5">
      <w:pPr>
        <w:snapToGrid w:val="0"/>
        <w:spacing w:beforeLines="50" w:before="180" w:line="360" w:lineRule="auto"/>
        <w:ind w:leftChars="-118" w:left="-283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2846070</wp:posOffset>
            </wp:positionH>
            <wp:positionV relativeFrom="paragraph">
              <wp:posOffset>172720</wp:posOffset>
            </wp:positionV>
            <wp:extent cx="2895600" cy="4013200"/>
            <wp:effectExtent l="0" t="0" r="0" b="635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91" t="13691" r="32420" b="10711"/>
                    <a:stretch/>
                  </pic:blipFill>
                  <pic:spPr bwMode="auto">
                    <a:xfrm>
                      <a:off x="0" y="0"/>
                      <a:ext cx="2895600" cy="401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67DE65D" wp14:editId="3D5B7A51">
            <wp:extent cx="3028950" cy="4076451"/>
            <wp:effectExtent l="0" t="0" r="0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3048" t="17627" r="31125" b="5221"/>
                    <a:stretch/>
                  </pic:blipFill>
                  <pic:spPr bwMode="auto">
                    <a:xfrm>
                      <a:off x="0" y="0"/>
                      <a:ext cx="3029135" cy="407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60B5" w:rsidRPr="00B83210" w:rsidRDefault="00001AEE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對於第</w:t>
      </w:r>
      <w:r w:rsidR="0071650E">
        <w:rPr>
          <w:rFonts w:ascii="Times New Roman" w:eastAsia="標楷體" w:hAnsi="Times New Roman" w:hint="eastAsia"/>
          <w:sz w:val="28"/>
        </w:rPr>
        <w:t>七</w:t>
      </w:r>
      <w:r>
        <w:rPr>
          <w:rFonts w:ascii="Times New Roman" w:eastAsia="標楷體" w:hAnsi="Times New Roman" w:hint="eastAsia"/>
          <w:sz w:val="28"/>
        </w:rPr>
        <w:t>條規定之即時性及正確性，中鋼皆使用當年度的資料並對照前五年的數據，報告具</w:t>
      </w:r>
      <w:r>
        <w:rPr>
          <w:rFonts w:ascii="Times New Roman" w:eastAsia="標楷體" w:hAnsi="Times New Roman" w:hint="eastAsia"/>
          <w:sz w:val="28"/>
        </w:rPr>
        <w:t>AA1000</w:t>
      </w:r>
      <w:r>
        <w:rPr>
          <w:rFonts w:ascii="Times New Roman" w:eastAsia="標楷體" w:hAnsi="Times New Roman" w:hint="eastAsia"/>
          <w:sz w:val="28"/>
        </w:rPr>
        <w:t>第一型中度保證。</w:t>
      </w:r>
    </w:p>
    <w:sectPr w:rsidR="004460B5" w:rsidRPr="00B83210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03B" w:rsidRDefault="00F5303B" w:rsidP="00256F30">
      <w:r>
        <w:separator/>
      </w:r>
    </w:p>
  </w:endnote>
  <w:endnote w:type="continuationSeparator" w:id="0">
    <w:p w:rsidR="00F5303B" w:rsidRDefault="00F5303B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03B" w:rsidRDefault="00F5303B" w:rsidP="00256F30">
      <w:r>
        <w:separator/>
      </w:r>
    </w:p>
  </w:footnote>
  <w:footnote w:type="continuationSeparator" w:id="0">
    <w:p w:rsidR="00F5303B" w:rsidRDefault="00F5303B" w:rsidP="00256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DBF"/>
    <w:rsid w:val="00001AEE"/>
    <w:rsid w:val="00006283"/>
    <w:rsid w:val="00014111"/>
    <w:rsid w:val="00025903"/>
    <w:rsid w:val="00033EA8"/>
    <w:rsid w:val="00064667"/>
    <w:rsid w:val="00075E12"/>
    <w:rsid w:val="00080C2D"/>
    <w:rsid w:val="00095470"/>
    <w:rsid w:val="000A048F"/>
    <w:rsid w:val="000A2CB6"/>
    <w:rsid w:val="000C014F"/>
    <w:rsid w:val="000C1A5A"/>
    <w:rsid w:val="000D6812"/>
    <w:rsid w:val="000E3427"/>
    <w:rsid w:val="000E3F46"/>
    <w:rsid w:val="000F2048"/>
    <w:rsid w:val="000F21E7"/>
    <w:rsid w:val="000F494A"/>
    <w:rsid w:val="000F4B24"/>
    <w:rsid w:val="000F6D67"/>
    <w:rsid w:val="00123B8D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F2E21"/>
    <w:rsid w:val="001F401F"/>
    <w:rsid w:val="001F7895"/>
    <w:rsid w:val="00204336"/>
    <w:rsid w:val="002046C5"/>
    <w:rsid w:val="00210D4F"/>
    <w:rsid w:val="00237CB8"/>
    <w:rsid w:val="002456F4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43282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23CE0"/>
    <w:rsid w:val="00444F98"/>
    <w:rsid w:val="004460B5"/>
    <w:rsid w:val="0045162A"/>
    <w:rsid w:val="00452C06"/>
    <w:rsid w:val="00476139"/>
    <w:rsid w:val="00491F32"/>
    <w:rsid w:val="004A134A"/>
    <w:rsid w:val="004D36E4"/>
    <w:rsid w:val="004F34F9"/>
    <w:rsid w:val="004F5DD5"/>
    <w:rsid w:val="004F6340"/>
    <w:rsid w:val="00510FE4"/>
    <w:rsid w:val="00513565"/>
    <w:rsid w:val="00520C87"/>
    <w:rsid w:val="00540852"/>
    <w:rsid w:val="00545641"/>
    <w:rsid w:val="00554C94"/>
    <w:rsid w:val="005655F5"/>
    <w:rsid w:val="00573627"/>
    <w:rsid w:val="0057608A"/>
    <w:rsid w:val="005C0296"/>
    <w:rsid w:val="005C1E4E"/>
    <w:rsid w:val="005D3828"/>
    <w:rsid w:val="005E20F8"/>
    <w:rsid w:val="005F72AE"/>
    <w:rsid w:val="00611039"/>
    <w:rsid w:val="00617B0C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A5D9F"/>
    <w:rsid w:val="006B5622"/>
    <w:rsid w:val="006B6B5D"/>
    <w:rsid w:val="006D6092"/>
    <w:rsid w:val="006D71F4"/>
    <w:rsid w:val="006D7CDB"/>
    <w:rsid w:val="006F0A0D"/>
    <w:rsid w:val="006F6BE5"/>
    <w:rsid w:val="0071650E"/>
    <w:rsid w:val="00726820"/>
    <w:rsid w:val="007356E1"/>
    <w:rsid w:val="00741D3F"/>
    <w:rsid w:val="00767C95"/>
    <w:rsid w:val="00770DFA"/>
    <w:rsid w:val="00782CAE"/>
    <w:rsid w:val="00787C40"/>
    <w:rsid w:val="00790D94"/>
    <w:rsid w:val="00792B5B"/>
    <w:rsid w:val="00795379"/>
    <w:rsid w:val="007A41B6"/>
    <w:rsid w:val="007A7799"/>
    <w:rsid w:val="007B56C1"/>
    <w:rsid w:val="007C5F12"/>
    <w:rsid w:val="007D5632"/>
    <w:rsid w:val="007E411B"/>
    <w:rsid w:val="007E5AEC"/>
    <w:rsid w:val="00806A26"/>
    <w:rsid w:val="00812E2F"/>
    <w:rsid w:val="008148BE"/>
    <w:rsid w:val="00827A71"/>
    <w:rsid w:val="00843165"/>
    <w:rsid w:val="00844056"/>
    <w:rsid w:val="0086748A"/>
    <w:rsid w:val="00870649"/>
    <w:rsid w:val="00874CB7"/>
    <w:rsid w:val="00876270"/>
    <w:rsid w:val="00877DD4"/>
    <w:rsid w:val="008816F5"/>
    <w:rsid w:val="008C3AA8"/>
    <w:rsid w:val="008D0D62"/>
    <w:rsid w:val="008D1DBF"/>
    <w:rsid w:val="008E2FB7"/>
    <w:rsid w:val="008E3814"/>
    <w:rsid w:val="008F5295"/>
    <w:rsid w:val="008F6AC5"/>
    <w:rsid w:val="009015C4"/>
    <w:rsid w:val="00906A91"/>
    <w:rsid w:val="00920514"/>
    <w:rsid w:val="00922551"/>
    <w:rsid w:val="00925989"/>
    <w:rsid w:val="00933283"/>
    <w:rsid w:val="00933C9A"/>
    <w:rsid w:val="00942DDB"/>
    <w:rsid w:val="00946489"/>
    <w:rsid w:val="00955D27"/>
    <w:rsid w:val="009735C4"/>
    <w:rsid w:val="0098770C"/>
    <w:rsid w:val="009A023E"/>
    <w:rsid w:val="009B0984"/>
    <w:rsid w:val="009B141E"/>
    <w:rsid w:val="009C3C9F"/>
    <w:rsid w:val="009D0A0B"/>
    <w:rsid w:val="009E572E"/>
    <w:rsid w:val="009F68CB"/>
    <w:rsid w:val="00A05663"/>
    <w:rsid w:val="00A05998"/>
    <w:rsid w:val="00A154A7"/>
    <w:rsid w:val="00A36362"/>
    <w:rsid w:val="00A43F48"/>
    <w:rsid w:val="00A47D33"/>
    <w:rsid w:val="00A711D1"/>
    <w:rsid w:val="00A77AE4"/>
    <w:rsid w:val="00A80EB3"/>
    <w:rsid w:val="00A93585"/>
    <w:rsid w:val="00AA1A4D"/>
    <w:rsid w:val="00AA42CE"/>
    <w:rsid w:val="00AB53C4"/>
    <w:rsid w:val="00AB74E5"/>
    <w:rsid w:val="00AC0B2A"/>
    <w:rsid w:val="00AC6F7C"/>
    <w:rsid w:val="00B10780"/>
    <w:rsid w:val="00B234C0"/>
    <w:rsid w:val="00B23F83"/>
    <w:rsid w:val="00B34568"/>
    <w:rsid w:val="00B3591A"/>
    <w:rsid w:val="00B368B3"/>
    <w:rsid w:val="00B41027"/>
    <w:rsid w:val="00B4716F"/>
    <w:rsid w:val="00B565EF"/>
    <w:rsid w:val="00B57E00"/>
    <w:rsid w:val="00B60A66"/>
    <w:rsid w:val="00B619E8"/>
    <w:rsid w:val="00B62810"/>
    <w:rsid w:val="00B641D5"/>
    <w:rsid w:val="00B670A7"/>
    <w:rsid w:val="00B83210"/>
    <w:rsid w:val="00B84036"/>
    <w:rsid w:val="00BA2E47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59F1"/>
    <w:rsid w:val="00C24711"/>
    <w:rsid w:val="00C26A5D"/>
    <w:rsid w:val="00C27C75"/>
    <w:rsid w:val="00C44863"/>
    <w:rsid w:val="00C462D0"/>
    <w:rsid w:val="00C51AD9"/>
    <w:rsid w:val="00C52008"/>
    <w:rsid w:val="00C65668"/>
    <w:rsid w:val="00C778CE"/>
    <w:rsid w:val="00C92BA3"/>
    <w:rsid w:val="00CA0505"/>
    <w:rsid w:val="00CC770D"/>
    <w:rsid w:val="00CD2ED6"/>
    <w:rsid w:val="00CD3776"/>
    <w:rsid w:val="00D049DC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94472"/>
    <w:rsid w:val="00DA0BD0"/>
    <w:rsid w:val="00DA3CE8"/>
    <w:rsid w:val="00DC4D53"/>
    <w:rsid w:val="00DD189A"/>
    <w:rsid w:val="00DE02DB"/>
    <w:rsid w:val="00E003B7"/>
    <w:rsid w:val="00E0643D"/>
    <w:rsid w:val="00E136C8"/>
    <w:rsid w:val="00E13813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D46DF"/>
    <w:rsid w:val="00EE2A52"/>
    <w:rsid w:val="00EF7396"/>
    <w:rsid w:val="00F03033"/>
    <w:rsid w:val="00F316DF"/>
    <w:rsid w:val="00F3307C"/>
    <w:rsid w:val="00F44F8B"/>
    <w:rsid w:val="00F5303B"/>
    <w:rsid w:val="00F55C9B"/>
    <w:rsid w:val="00F60B49"/>
    <w:rsid w:val="00F61AB4"/>
    <w:rsid w:val="00F6304E"/>
    <w:rsid w:val="00F725E2"/>
    <w:rsid w:val="00F831B7"/>
    <w:rsid w:val="00F86F5B"/>
    <w:rsid w:val="00F930F7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43FD2D"/>
  <w15:chartTrackingRefBased/>
  <w15:docId w15:val="{2F2D1E54-3BBF-4BDC-969D-4EB31088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styleId="Web">
    <w:name w:val="Normal (Web)"/>
    <w:basedOn w:val="a"/>
    <w:uiPriority w:val="99"/>
    <w:unhideWhenUsed/>
    <w:rsid w:val="00B368B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cp:lastModifiedBy>RYAN</cp:lastModifiedBy>
  <cp:revision>5</cp:revision>
  <dcterms:created xsi:type="dcterms:W3CDTF">2019-01-04T08:21:00Z</dcterms:created>
  <dcterms:modified xsi:type="dcterms:W3CDTF">2019-01-14T06:24:00Z</dcterms:modified>
</cp:coreProperties>
</file>