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C026B4">
        <w:rPr>
          <w:rFonts w:ascii="Times New Roman" w:eastAsia="標楷體" w:hAnsi="Times New Roman" w:hint="eastAsia"/>
          <w:sz w:val="32"/>
          <w:szCs w:val="28"/>
        </w:rPr>
        <w:t>對社區影響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522552">
        <w:rPr>
          <w:rFonts w:ascii="Times New Roman" w:eastAsia="標楷體" w:hAnsi="Times New Roman" w:hint="eastAsia"/>
          <w:sz w:val="28"/>
          <w:szCs w:val="28"/>
        </w:rPr>
        <w:t>第</w:t>
      </w:r>
      <w:r w:rsidR="00C026B4" w:rsidRPr="00522552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522552">
        <w:rPr>
          <w:rFonts w:ascii="Times New Roman" w:eastAsia="標楷體" w:hAnsi="Times New Roman" w:hint="eastAsia"/>
          <w:sz w:val="28"/>
          <w:szCs w:val="28"/>
        </w:rPr>
        <w:t>十</w:t>
      </w:r>
      <w:r w:rsidR="00444F98" w:rsidRPr="00522552">
        <w:rPr>
          <w:rFonts w:ascii="Times New Roman" w:eastAsia="標楷體" w:hAnsi="Times New Roman" w:hint="eastAsia"/>
          <w:sz w:val="28"/>
          <w:szCs w:val="28"/>
        </w:rPr>
        <w:t>七</w:t>
      </w:r>
      <w:r w:rsidRPr="00522552">
        <w:rPr>
          <w:rFonts w:ascii="Times New Roman" w:eastAsia="標楷體" w:hAnsi="Times New Roman" w:hint="eastAsia"/>
          <w:sz w:val="28"/>
          <w:szCs w:val="28"/>
        </w:rPr>
        <w:t>條</w:t>
      </w:r>
      <w:r w:rsidRPr="0052255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52255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522552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B74E5" w:rsidRPr="00942DDB">
        <w:rPr>
          <w:rFonts w:ascii="Times New Roman" w:eastAsia="標楷體" w:hAnsi="Times New Roman" w:hint="eastAsia"/>
        </w:rPr>
        <w:t>018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:rsidR="00C026B4" w:rsidRDefault="00F73BC7" w:rsidP="00F73BC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中鋼在社區經營上不僅有產學合作專案促進在地購買，並與社區居民有社團、教育、就職、急難救助等互動。更設有</w:t>
      </w:r>
      <w:r w:rsidR="0085545D">
        <w:rPr>
          <w:rFonts w:ascii="Times New Roman" w:eastAsia="標楷體" w:hAnsi="Times New Roman" w:hint="eastAsia"/>
          <w:i/>
          <w:sz w:val="28"/>
        </w:rPr>
        <w:t>幼稚園及加分機制，鼓勵在地子弟留鄉</w:t>
      </w:r>
    </w:p>
    <w:p w:rsidR="0085545D" w:rsidRDefault="0085545D" w:rsidP="00F73BC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B368B3" w:rsidRPr="00B368B3" w:rsidRDefault="00B368B3" w:rsidP="00B368B3">
      <w:pPr>
        <w:pStyle w:val="Web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月，主要產品為鋼板、條鋼、線材、熱軋、冷軋、電鍍鋅鋼捲、電磁鋼捲及熱浸鍍鋅鋼捲等鋼品，以及鈦基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</w:p>
    <w:p w:rsidR="00B368B3" w:rsidRDefault="00B368B3" w:rsidP="00B368B3">
      <w:pPr>
        <w:pStyle w:val="Web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年獲選富時社會責任指數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:rsidR="00B368B3" w:rsidRPr="00B368B3" w:rsidRDefault="00B368B3" w:rsidP="00B368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近年來，</w:t>
      </w:r>
      <w:r w:rsidRPr="00B368B3">
        <w:rPr>
          <w:rFonts w:ascii="Times New Roman" w:eastAsia="標楷體" w:hAnsi="Times New Roman"/>
          <w:sz w:val="28"/>
        </w:rPr>
        <w:t>中鋼為發揮經營綜效</w:t>
      </w:r>
      <w:r>
        <w:rPr>
          <w:rFonts w:ascii="Times New Roman" w:eastAsia="標楷體" w:hAnsi="Times New Roman" w:hint="eastAsia"/>
          <w:sz w:val="28"/>
        </w:rPr>
        <w:t>而</w:t>
      </w:r>
      <w:r w:rsidRPr="00B368B3">
        <w:rPr>
          <w:rFonts w:ascii="Times New Roman" w:eastAsia="標楷體" w:hAnsi="Times New Roman"/>
          <w:sz w:val="28"/>
        </w:rPr>
        <w:t>多角化經營，目前轉投資事業共有</w:t>
      </w:r>
      <w:r w:rsidRPr="00B368B3">
        <w:rPr>
          <w:rFonts w:ascii="Times New Roman" w:eastAsia="標楷體" w:hAnsi="Times New Roman"/>
          <w:sz w:val="28"/>
        </w:rPr>
        <w:t>26</w:t>
      </w:r>
      <w:r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:rsidR="0085545D" w:rsidRDefault="0085545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BB59BE" w:rsidRPr="009709CA" w:rsidRDefault="00BB59BE" w:rsidP="00BB59BE">
      <w:pPr>
        <w:rPr>
          <w:rFonts w:ascii="Times New Roman" w:eastAsia="標楷體" w:hAnsi="Times New Roman"/>
          <w:sz w:val="28"/>
        </w:rPr>
      </w:pPr>
      <w:r w:rsidRPr="009709CA">
        <w:rPr>
          <w:rFonts w:ascii="Times New Roman" w:eastAsia="標楷體" w:hAnsi="Times New Roman" w:hint="eastAsia"/>
          <w:sz w:val="28"/>
        </w:rPr>
        <w:t>中鋼定期舉辦與小港區</w:t>
      </w:r>
      <w:r w:rsidRPr="009709CA">
        <w:rPr>
          <w:rFonts w:ascii="Times New Roman" w:eastAsia="標楷體" w:hAnsi="Times New Roman" w:hint="eastAsia"/>
          <w:sz w:val="28"/>
        </w:rPr>
        <w:t>(</w:t>
      </w:r>
      <w:r w:rsidRPr="009709CA">
        <w:rPr>
          <w:rFonts w:ascii="Times New Roman" w:eastAsia="標楷體" w:hAnsi="Times New Roman" w:hint="eastAsia"/>
          <w:sz w:val="28"/>
        </w:rPr>
        <w:t>在地</w:t>
      </w:r>
      <w:r w:rsidRPr="009709CA">
        <w:rPr>
          <w:rFonts w:ascii="Times New Roman" w:eastAsia="標楷體" w:hAnsi="Times New Roman" w:hint="eastAsia"/>
          <w:sz w:val="28"/>
        </w:rPr>
        <w:t>)</w:t>
      </w:r>
      <w:r w:rsidRPr="009709CA">
        <w:rPr>
          <w:rFonts w:ascii="Times New Roman" w:eastAsia="標楷體" w:hAnsi="Times New Roman" w:hint="eastAsia"/>
          <w:sz w:val="28"/>
        </w:rPr>
        <w:t>居民社團及同樂活動、急難救助金、低</w:t>
      </w:r>
      <w:r w:rsidRPr="009709CA">
        <w:rPr>
          <w:rFonts w:ascii="Times New Roman" w:eastAsia="標楷體" w:hAnsi="Times New Roman" w:hint="eastAsia"/>
          <w:sz w:val="28"/>
        </w:rPr>
        <w:lastRenderedPageBreak/>
        <w:t>收入戶問問金等。中鋼職工聯合福利委員會設有中鋼幼稚園著急企業及當地學子，舉辦國小暑期夏令營、國小戶外教學參觀廠區，並設立獎學金及贊助小港區學校更新教學設備。於「小港區弟子參加中鋼公司新進人員徵選獎勵作業要點」規定當地設籍的子弟筆試享有加成計分之優惠，鼓勵在地社區加入。</w:t>
      </w:r>
    </w:p>
    <w:p w:rsidR="00522552" w:rsidRPr="009709CA" w:rsidRDefault="00BB59B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B59BE">
        <w:rPr>
          <w:rFonts w:ascii="Times New Roman" w:eastAsia="標楷體" w:hAnsi="Times New Roman" w:hint="eastAsia"/>
          <w:sz w:val="28"/>
        </w:rPr>
        <w:t>生產製造的過程</w:t>
      </w:r>
      <w:r w:rsidR="003D4067">
        <w:rPr>
          <w:rFonts w:ascii="Times New Roman" w:eastAsia="標楷體" w:hAnsi="Times New Roman" w:hint="eastAsia"/>
          <w:sz w:val="28"/>
        </w:rPr>
        <w:t>中</w:t>
      </w:r>
      <w:r w:rsidRPr="00BB59BE">
        <w:rPr>
          <w:rFonts w:ascii="Times New Roman" w:eastAsia="標楷體" w:hAnsi="Times New Roman" w:hint="eastAsia"/>
          <w:sz w:val="28"/>
        </w:rPr>
        <w:t>注重</w:t>
      </w:r>
      <w:r w:rsidR="00C026B4" w:rsidRPr="009709CA">
        <w:rPr>
          <w:rFonts w:ascii="Times New Roman" w:eastAsia="標楷體" w:hAnsi="Times New Roman" w:hint="eastAsia"/>
          <w:sz w:val="28"/>
        </w:rPr>
        <w:t>在地採購</w:t>
      </w:r>
      <w:r w:rsidR="003D4067">
        <w:rPr>
          <w:rFonts w:ascii="Times New Roman" w:eastAsia="標楷體" w:hAnsi="Times New Roman" w:hint="eastAsia"/>
          <w:sz w:val="28"/>
        </w:rPr>
        <w:t>並記錄</w:t>
      </w:r>
      <w:r w:rsidR="003D4067">
        <w:rPr>
          <w:rFonts w:ascii="Times New Roman" w:eastAsia="標楷體" w:hAnsi="Times New Roman" w:hint="eastAsia"/>
          <w:sz w:val="28"/>
        </w:rPr>
        <w:t>(</w:t>
      </w:r>
      <w:r w:rsidR="003D4067">
        <w:rPr>
          <w:rFonts w:ascii="Times New Roman" w:eastAsia="標楷體" w:hAnsi="Times New Roman" w:hint="eastAsia"/>
          <w:sz w:val="28"/>
        </w:rPr>
        <w:t>如下圖</w:t>
      </w:r>
      <w:r w:rsidR="003D4067">
        <w:rPr>
          <w:rFonts w:ascii="Times New Roman" w:eastAsia="標楷體" w:hAnsi="Times New Roman" w:hint="eastAsia"/>
          <w:sz w:val="28"/>
        </w:rPr>
        <w:t>)</w:t>
      </w:r>
      <w:r w:rsidR="003D4067">
        <w:rPr>
          <w:rFonts w:ascii="Times New Roman" w:eastAsia="標楷體" w:hAnsi="Times New Roman" w:hint="eastAsia"/>
          <w:sz w:val="28"/>
        </w:rPr>
        <w:t>。</w:t>
      </w:r>
      <w:r w:rsidR="00522552">
        <w:rPr>
          <w:rFonts w:ascii="Times New Roman" w:eastAsia="標楷體" w:hAnsi="Times New Roman" w:hint="eastAsia"/>
          <w:sz w:val="28"/>
        </w:rPr>
        <w:t>與學校、協會等進行產學合作，提升在地產品效能及培植生產技術。</w:t>
      </w:r>
    </w:p>
    <w:p w:rsidR="00C026B4" w:rsidRPr="009709CA" w:rsidRDefault="00C026B4" w:rsidP="00BB59BE">
      <w:pPr>
        <w:snapToGrid w:val="0"/>
        <w:spacing w:beforeLines="50" w:before="180" w:line="360" w:lineRule="auto"/>
        <w:ind w:leftChars="-118" w:hangingChars="101" w:hanging="283"/>
        <w:jc w:val="center"/>
        <w:rPr>
          <w:rFonts w:ascii="Times New Roman" w:eastAsia="標楷體" w:hAnsi="Times New Roman"/>
          <w:sz w:val="28"/>
        </w:rPr>
      </w:pPr>
      <w:r w:rsidRPr="009709CA"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3DA98B9F" wp14:editId="51A58E5A">
            <wp:extent cx="5883632" cy="1728524"/>
            <wp:effectExtent l="0" t="0" r="317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60" t="54613" r="18012" b="15335"/>
                    <a:stretch/>
                  </pic:blipFill>
                  <pic:spPr bwMode="auto">
                    <a:xfrm>
                      <a:off x="0" y="0"/>
                      <a:ext cx="5960567" cy="175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6B4" w:rsidRPr="009709CA" w:rsidRDefault="00C026B4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C026B4" w:rsidRPr="009709CA" w:rsidSect="00BB59BE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42" w:rsidRDefault="00BE7242" w:rsidP="00256F30">
      <w:r>
        <w:separator/>
      </w:r>
    </w:p>
  </w:endnote>
  <w:endnote w:type="continuationSeparator" w:id="0">
    <w:p w:rsidR="00BE7242" w:rsidRDefault="00BE724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42" w:rsidRDefault="00BE7242" w:rsidP="00256F30">
      <w:r>
        <w:separator/>
      </w:r>
    </w:p>
  </w:footnote>
  <w:footnote w:type="continuationSeparator" w:id="0">
    <w:p w:rsidR="00BE7242" w:rsidRDefault="00BE7242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067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22552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545D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B89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2DDB"/>
    <w:rsid w:val="00946489"/>
    <w:rsid w:val="00955D27"/>
    <w:rsid w:val="009709CA"/>
    <w:rsid w:val="009735C4"/>
    <w:rsid w:val="0098770C"/>
    <w:rsid w:val="009B0984"/>
    <w:rsid w:val="009B141E"/>
    <w:rsid w:val="009C0DF1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B59BE"/>
    <w:rsid w:val="00BC34B1"/>
    <w:rsid w:val="00BD3EF7"/>
    <w:rsid w:val="00BE29F5"/>
    <w:rsid w:val="00BE61BB"/>
    <w:rsid w:val="00BE7242"/>
    <w:rsid w:val="00BF005F"/>
    <w:rsid w:val="00BF68DF"/>
    <w:rsid w:val="00C00A18"/>
    <w:rsid w:val="00C026B4"/>
    <w:rsid w:val="00C02F34"/>
    <w:rsid w:val="00C0770E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3BC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B67ED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2019-01-04T02:47:00Z</dcterms:created>
  <dcterms:modified xsi:type="dcterms:W3CDTF">2019-01-14T06:22:00Z</dcterms:modified>
</cp:coreProperties>
</file>