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76B4CE27" w:rsidR="008D1DBF" w:rsidRPr="00B14B3C" w:rsidRDefault="003817EB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京城銀行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公司治理作為</w:t>
      </w:r>
    </w:p>
    <w:p w14:paraId="13C23CEC" w14:textId="1F29AD59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0F7329">
        <w:rPr>
          <w:rFonts w:ascii="Times New Roman" w:eastAsia="標楷體" w:hAnsi="Times New Roman" w:hint="eastAsia"/>
          <w:sz w:val="28"/>
          <w:szCs w:val="28"/>
        </w:rPr>
        <w:t>六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400F76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1DA7DC63" w14:textId="19D593B3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0F7329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0F7329">
        <w:rPr>
          <w:rFonts w:ascii="Times New Roman" w:eastAsia="標楷體" w:hint="eastAsia"/>
        </w:rPr>
        <w:t>京城銀行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41C68449" w14:textId="723C308C" w:rsidR="003817EB" w:rsidRPr="003817EB" w:rsidRDefault="003817EB" w:rsidP="00612BF8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京城銀行</w:t>
      </w:r>
      <w:r w:rsidRPr="003817EB">
        <w:rPr>
          <w:rFonts w:ascii="Times New Roman" w:eastAsia="標楷體" w:hAnsi="Times New Roman" w:hint="eastAsia"/>
          <w:i/>
          <w:kern w:val="0"/>
          <w:sz w:val="28"/>
          <w:szCs w:val="26"/>
        </w:rPr>
        <w:t>於</w:t>
      </w:r>
      <w:r w:rsidRPr="003817EB">
        <w:rPr>
          <w:rFonts w:ascii="Times New Roman" w:eastAsia="標楷體" w:hAnsi="Times New Roman"/>
          <w:i/>
          <w:kern w:val="0"/>
          <w:sz w:val="28"/>
          <w:szCs w:val="26"/>
        </w:rPr>
        <w:t>2017</w:t>
      </w:r>
      <w:r w:rsidRPr="003817EB">
        <w:rPr>
          <w:rFonts w:ascii="Times New Roman" w:eastAsia="標楷體" w:hAnsi="Times New Roman" w:hint="eastAsia"/>
          <w:i/>
          <w:kern w:val="0"/>
          <w:sz w:val="28"/>
          <w:szCs w:val="26"/>
        </w:rPr>
        <w:t>年</w:t>
      </w:r>
      <w:r w:rsidRPr="003817EB">
        <w:rPr>
          <w:rFonts w:ascii="Times New Roman" w:eastAsia="標楷體" w:hAnsi="Times New Roman"/>
          <w:i/>
          <w:kern w:val="0"/>
          <w:sz w:val="28"/>
          <w:szCs w:val="26"/>
        </w:rPr>
        <w:t>11</w:t>
      </w:r>
      <w:r w:rsidRPr="003817EB">
        <w:rPr>
          <w:rFonts w:ascii="Times New Roman" w:eastAsia="標楷體" w:hAnsi="Times New Roman" w:hint="eastAsia"/>
          <w:i/>
          <w:kern w:val="0"/>
          <w:sz w:val="28"/>
          <w:szCs w:val="26"/>
        </w:rPr>
        <w:t>月設置「公司治理暨提名委員會」，訂有「董事會暨功能性委員會績效評估辦法」，以加強董事會運作效率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0C868808" w14:textId="6C9A9680" w:rsidR="00D92855" w:rsidRPr="00602195" w:rsidRDefault="000F7329" w:rsidP="00C677B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6"/>
        </w:rPr>
      </w:pP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京城商業銀行前身為台南區中小企業銀行，係由台南區合會儲蓄公司改制而成。為符合改制商業銀行資格，民國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94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年度辦理現金增資新台幣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36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億元，民國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95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3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月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20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日奉主管機關核准，並自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95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5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月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3</w:t>
      </w:r>
      <w:r w:rsidRPr="000F7329">
        <w:rPr>
          <w:rFonts w:ascii="Times New Roman" w:eastAsia="標楷體" w:hAnsi="Times New Roman" w:hint="eastAsia"/>
          <w:kern w:val="0"/>
          <w:sz w:val="28"/>
          <w:szCs w:val="26"/>
        </w:rPr>
        <w:t>日更名改制為「京城商業銀行」；「京城」寓意於「精誠所至，金石為開」，代表新注入的服務精神；並於正式更名後，啟用新的企業識別系統為台南市花－「鳳凰樹」，象徵本行立足府城、花開全台。</w:t>
      </w:r>
    </w:p>
    <w:p w14:paraId="201D40D2" w14:textId="77777777" w:rsidR="00602195" w:rsidRDefault="0060219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07672343" w14:textId="389B5709" w:rsidR="000F7329" w:rsidRPr="000F7329" w:rsidRDefault="003817EB" w:rsidP="003817EB">
      <w:pPr>
        <w:autoSpaceDE w:val="0"/>
        <w:autoSpaceDN w:val="0"/>
        <w:adjustRightInd w:val="0"/>
        <w:snapToGrid w:val="0"/>
        <w:spacing w:beforeLines="50" w:before="180" w:line="360" w:lineRule="auto"/>
        <w:ind w:left="283" w:hangingChars="101" w:hanging="283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◆</w:t>
      </w:r>
      <w:r w:rsidR="000F7329" w:rsidRPr="000F7329">
        <w:rPr>
          <w:rFonts w:ascii="Times New Roman" w:eastAsia="標楷體" w:hAnsi="Times New Roman" w:hint="eastAsia"/>
          <w:kern w:val="0"/>
          <w:sz w:val="28"/>
          <w:szCs w:val="26"/>
        </w:rPr>
        <w:t>訂有「董事會暨功能性委員會績效評估辦法」，每年應至少執行一次內部董事會及功能性委員會績效評估，每三年應至少一次由外部專業獨立機構執行董事會評估。自</w:t>
      </w:r>
      <w:r w:rsidR="000F7329" w:rsidRPr="000F7329">
        <w:rPr>
          <w:rFonts w:ascii="Times New Roman" w:eastAsia="標楷體" w:hAnsi="Times New Roman" w:hint="eastAsia"/>
          <w:kern w:val="0"/>
          <w:sz w:val="28"/>
          <w:szCs w:val="26"/>
        </w:rPr>
        <w:t>2017</w:t>
      </w:r>
      <w:r w:rsidR="000F7329" w:rsidRPr="000F7329">
        <w:rPr>
          <w:rFonts w:ascii="Times New Roman" w:eastAsia="標楷體" w:hAnsi="Times New Roman" w:hint="eastAsia"/>
          <w:kern w:val="0"/>
          <w:sz w:val="28"/>
          <w:szCs w:val="26"/>
        </w:rPr>
        <w:t>年起執行董事會暨功能性委員會內部績效自評，</w:t>
      </w:r>
      <w:r w:rsidR="000F7329" w:rsidRPr="000F7329">
        <w:rPr>
          <w:rFonts w:ascii="Times New Roman" w:eastAsia="標楷體" w:hAnsi="Times New Roman" w:hint="eastAsia"/>
          <w:kern w:val="0"/>
          <w:sz w:val="28"/>
          <w:szCs w:val="26"/>
        </w:rPr>
        <w:t>2019</w:t>
      </w:r>
      <w:r w:rsidR="000F7329" w:rsidRPr="000F7329">
        <w:rPr>
          <w:rFonts w:ascii="Times New Roman" w:eastAsia="標楷體" w:hAnsi="Times New Roman" w:hint="eastAsia"/>
          <w:kern w:val="0"/>
          <w:sz w:val="28"/>
          <w:szCs w:val="26"/>
        </w:rPr>
        <w:t>年委由「安永企業管理諮詢服務股份有限公司」進行外部績效評估作業，經綜合評估，本公司在董事會架構、成員及流程與資訊方面的綜合表現程度皆為「進階」。</w:t>
      </w:r>
    </w:p>
    <w:p w14:paraId="1AC087ED" w14:textId="26635F72" w:rsidR="000F7329" w:rsidRPr="000F7329" w:rsidRDefault="003817EB" w:rsidP="003817EB">
      <w:pPr>
        <w:autoSpaceDE w:val="0"/>
        <w:autoSpaceDN w:val="0"/>
        <w:adjustRightInd w:val="0"/>
        <w:snapToGrid w:val="0"/>
        <w:spacing w:beforeLines="50" w:before="180" w:line="360" w:lineRule="auto"/>
        <w:ind w:left="283" w:hangingChars="101" w:hanging="283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◆</w:t>
      </w:r>
      <w:r w:rsidR="000F7329" w:rsidRPr="000F7329">
        <w:rPr>
          <w:rFonts w:ascii="Times New Roman" w:eastAsia="標楷體" w:hAnsi="Times New Roman" w:hint="eastAsia"/>
          <w:kern w:val="0"/>
          <w:sz w:val="28"/>
          <w:szCs w:val="26"/>
        </w:rPr>
        <w:t>訂有經董事會通過之「誠信經營守則」及「誠信經營作業程序及行為指南」作為公司之誠信經營遵循之政策，具體規範本公司及集團</w:t>
      </w:r>
      <w:r w:rsidR="000F7329" w:rsidRPr="000F7329">
        <w:rPr>
          <w:rFonts w:ascii="Times New Roman" w:eastAsia="標楷體" w:hAnsi="Times New Roman" w:hint="eastAsia"/>
          <w:kern w:val="0"/>
          <w:sz w:val="28"/>
          <w:szCs w:val="26"/>
        </w:rPr>
        <w:lastRenderedPageBreak/>
        <w:t>企業與組織董事、經理人、受</w:t>
      </w:r>
      <w:proofErr w:type="gramStart"/>
      <w:r w:rsidR="000F7329" w:rsidRPr="000F7329">
        <w:rPr>
          <w:rFonts w:ascii="Times New Roman" w:eastAsia="標楷體" w:hAnsi="Times New Roman" w:hint="eastAsia"/>
          <w:kern w:val="0"/>
          <w:sz w:val="28"/>
          <w:szCs w:val="26"/>
        </w:rPr>
        <w:t>僱</w:t>
      </w:r>
      <w:proofErr w:type="gramEnd"/>
      <w:r w:rsidR="000F7329" w:rsidRPr="000F7329">
        <w:rPr>
          <w:rFonts w:ascii="Times New Roman" w:eastAsia="標楷體" w:hAnsi="Times New Roman" w:hint="eastAsia"/>
          <w:kern w:val="0"/>
          <w:sz w:val="28"/>
          <w:szCs w:val="26"/>
        </w:rPr>
        <w:t>人、受任人及具有實質控制能力之人，於執行業務時應注意之事項，以落實誠信經營政策，並積極防範</w:t>
      </w:r>
      <w:proofErr w:type="gramStart"/>
      <w:r w:rsidR="000F7329" w:rsidRPr="000F7329">
        <w:rPr>
          <w:rFonts w:ascii="Times New Roman" w:eastAsia="標楷體" w:hAnsi="Times New Roman" w:hint="eastAsia"/>
          <w:kern w:val="0"/>
          <w:sz w:val="28"/>
          <w:szCs w:val="26"/>
        </w:rPr>
        <w:t>不</w:t>
      </w:r>
      <w:proofErr w:type="gramEnd"/>
      <w:r w:rsidR="000F7329" w:rsidRPr="000F7329">
        <w:rPr>
          <w:rFonts w:ascii="Times New Roman" w:eastAsia="標楷體" w:hAnsi="Times New Roman" w:hint="eastAsia"/>
          <w:kern w:val="0"/>
          <w:sz w:val="28"/>
          <w:szCs w:val="26"/>
        </w:rPr>
        <w:t>誠信行為。並於</w:t>
      </w:r>
      <w:r w:rsidR="000F7329" w:rsidRPr="000F7329">
        <w:rPr>
          <w:rFonts w:ascii="Times New Roman" w:eastAsia="標楷體" w:hAnsi="Times New Roman"/>
          <w:kern w:val="0"/>
          <w:sz w:val="28"/>
          <w:szCs w:val="26"/>
        </w:rPr>
        <w:t>2019</w:t>
      </w:r>
      <w:r w:rsidR="000F7329" w:rsidRPr="000F7329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="000F7329" w:rsidRPr="000F7329">
        <w:rPr>
          <w:rFonts w:ascii="Times New Roman" w:eastAsia="標楷體" w:hAnsi="Times New Roman"/>
          <w:kern w:val="0"/>
          <w:sz w:val="28"/>
          <w:szCs w:val="26"/>
        </w:rPr>
        <w:t>8</w:t>
      </w:r>
      <w:r w:rsidR="000F7329" w:rsidRPr="000F7329">
        <w:rPr>
          <w:rFonts w:ascii="Times New Roman" w:eastAsia="標楷體" w:hAnsi="Times New Roman" w:hint="eastAsia"/>
          <w:kern w:val="0"/>
          <w:sz w:val="28"/>
          <w:szCs w:val="26"/>
        </w:rPr>
        <w:t>月由董事、高階管理階層及全體員工簽署「誠信行為聲明書」。</w:t>
      </w:r>
    </w:p>
    <w:p w14:paraId="2B30E179" w14:textId="2FE06E2B" w:rsidR="003817EB" w:rsidRPr="003817EB" w:rsidRDefault="003817EB" w:rsidP="003817EB">
      <w:pPr>
        <w:autoSpaceDE w:val="0"/>
        <w:autoSpaceDN w:val="0"/>
        <w:adjustRightInd w:val="0"/>
        <w:snapToGrid w:val="0"/>
        <w:spacing w:beforeLines="50" w:before="180" w:line="360" w:lineRule="auto"/>
        <w:ind w:left="283" w:hangingChars="101" w:hanging="283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◆設置隸屬董事會之「公司治理暨提名委員會」，為推動企業誠信經營專責單位，協助將誠信與道德價值融入公司經營策略，配合法令制度訂定確保誠信經營之相關防</w:t>
      </w:r>
      <w:proofErr w:type="gramStart"/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弊</w:t>
      </w:r>
      <w:proofErr w:type="gramEnd"/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措施，每年定期向董事會報告其誠信經營政策與防範</w:t>
      </w:r>
      <w:proofErr w:type="gramStart"/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不</w:t>
      </w:r>
      <w:proofErr w:type="gramEnd"/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誠信行為方案及監督執行情形。</w:t>
      </w:r>
    </w:p>
    <w:p w14:paraId="29B713FC" w14:textId="0807074D" w:rsidR="003817EB" w:rsidRPr="003817EB" w:rsidRDefault="003817EB" w:rsidP="003817EB">
      <w:pPr>
        <w:autoSpaceDE w:val="0"/>
        <w:autoSpaceDN w:val="0"/>
        <w:adjustRightInd w:val="0"/>
        <w:snapToGrid w:val="0"/>
        <w:spacing w:beforeLines="50" w:before="180" w:line="360" w:lineRule="auto"/>
        <w:ind w:left="283" w:hangingChars="101" w:hanging="283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◆定期向董事、高階管理階層及全體員工辦理誠信經營相關教育訓練，包括「檢舉制度宣導」、「內部重大資訊處理作業程序及</w:t>
      </w:r>
      <w:proofErr w:type="gramStart"/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併</w:t>
      </w:r>
      <w:proofErr w:type="gramEnd"/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購資訊揭露自律規範宣導」、「金融服務業公平待客原則」、「防制洗錢及</w:t>
      </w:r>
      <w:proofErr w:type="gramStart"/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打擊資恐法令</w:t>
      </w:r>
      <w:proofErr w:type="gramEnd"/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宣導」、「個人資料保護法宣導」、「法令遵循教育訓練」等。</w:t>
      </w:r>
      <w:r w:rsidRPr="003817EB">
        <w:rPr>
          <w:rFonts w:ascii="Times New Roman" w:eastAsia="標楷體" w:hAnsi="Times New Roman"/>
          <w:kern w:val="0"/>
          <w:sz w:val="28"/>
          <w:szCs w:val="26"/>
        </w:rPr>
        <w:t>2019</w:t>
      </w: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年度受訓計</w:t>
      </w:r>
      <w:r w:rsidRPr="003817EB">
        <w:rPr>
          <w:rFonts w:ascii="Times New Roman" w:eastAsia="標楷體" w:hAnsi="Times New Roman"/>
          <w:kern w:val="0"/>
          <w:sz w:val="28"/>
          <w:szCs w:val="26"/>
        </w:rPr>
        <w:t>24,619</w:t>
      </w: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人次，合計</w:t>
      </w:r>
      <w:r w:rsidRPr="003817EB">
        <w:rPr>
          <w:rFonts w:ascii="Times New Roman" w:eastAsia="標楷體" w:hAnsi="Times New Roman"/>
          <w:kern w:val="0"/>
          <w:sz w:val="28"/>
          <w:szCs w:val="26"/>
        </w:rPr>
        <w:t>22,176</w:t>
      </w: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人時。</w:t>
      </w:r>
    </w:p>
    <w:p w14:paraId="6F8676D2" w14:textId="10AFC771" w:rsidR="003817EB" w:rsidRPr="003817EB" w:rsidRDefault="003817EB" w:rsidP="003817EB">
      <w:pPr>
        <w:autoSpaceDE w:val="0"/>
        <w:autoSpaceDN w:val="0"/>
        <w:adjustRightInd w:val="0"/>
        <w:snapToGrid w:val="0"/>
        <w:spacing w:beforeLines="50" w:before="180" w:line="360" w:lineRule="auto"/>
        <w:ind w:left="283" w:hangingChars="101" w:hanging="283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◆持續強化董事會結構與運作，</w:t>
      </w:r>
      <w:r w:rsidRPr="003817EB">
        <w:rPr>
          <w:rFonts w:ascii="Times New Roman" w:eastAsia="標楷體" w:hAnsi="Times New Roman"/>
          <w:kern w:val="0"/>
          <w:sz w:val="28"/>
          <w:szCs w:val="26"/>
        </w:rPr>
        <w:t>2019</w:t>
      </w: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3817EB">
        <w:rPr>
          <w:rFonts w:ascii="Times New Roman" w:eastAsia="標楷體" w:hAnsi="Times New Roman"/>
          <w:kern w:val="0"/>
          <w:sz w:val="28"/>
          <w:szCs w:val="26"/>
        </w:rPr>
        <w:t>6</w:t>
      </w: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月為全體董事投保董監責任保險，落實永續經營理念。</w:t>
      </w:r>
    </w:p>
    <w:p w14:paraId="1489530C" w14:textId="4282E732" w:rsidR="003817EB" w:rsidRPr="003817EB" w:rsidRDefault="003817EB" w:rsidP="003817EB">
      <w:pPr>
        <w:autoSpaceDE w:val="0"/>
        <w:autoSpaceDN w:val="0"/>
        <w:adjustRightInd w:val="0"/>
        <w:snapToGrid w:val="0"/>
        <w:spacing w:beforeLines="50" w:before="180" w:line="360" w:lineRule="auto"/>
        <w:ind w:left="283" w:hangingChars="101" w:hanging="283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◆</w:t>
      </w:r>
      <w:r w:rsidRPr="003817EB">
        <w:rPr>
          <w:rFonts w:ascii="Times New Roman" w:eastAsia="標楷體" w:hAnsi="Times New Roman"/>
          <w:kern w:val="0"/>
          <w:sz w:val="28"/>
          <w:szCs w:val="26"/>
        </w:rPr>
        <w:t>2019</w:t>
      </w: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3817EB">
        <w:rPr>
          <w:rFonts w:ascii="Times New Roman" w:eastAsia="標楷體" w:hAnsi="Times New Roman"/>
          <w:kern w:val="0"/>
          <w:sz w:val="28"/>
          <w:szCs w:val="26"/>
        </w:rPr>
        <w:t>2</w:t>
      </w: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月</w:t>
      </w:r>
      <w:r w:rsidRPr="003817EB">
        <w:rPr>
          <w:rFonts w:ascii="Times New Roman" w:eastAsia="標楷體" w:hAnsi="Times New Roman"/>
          <w:kern w:val="0"/>
          <w:sz w:val="28"/>
          <w:szCs w:val="26"/>
        </w:rPr>
        <w:t>25</w:t>
      </w: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日董事會通過指派從事財務、股</w:t>
      </w:r>
      <w:proofErr w:type="gramStart"/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務</w:t>
      </w:r>
      <w:proofErr w:type="gramEnd"/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及議事等管理工作經驗達三年以上之</w:t>
      </w:r>
      <w:proofErr w:type="gramStart"/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楊健閣協理</w:t>
      </w:r>
      <w:proofErr w:type="gramEnd"/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擔任公司治理主管，依法辦理董事會及股東會會議相關事宜等。</w:t>
      </w:r>
      <w:r w:rsidRPr="003817EB">
        <w:rPr>
          <w:rFonts w:ascii="Times New Roman" w:eastAsia="標楷體" w:hAnsi="Times New Roman"/>
          <w:kern w:val="0"/>
          <w:sz w:val="28"/>
          <w:szCs w:val="26"/>
        </w:rPr>
        <w:t>2019</w:t>
      </w: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proofErr w:type="gramStart"/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楊健閣協理</w:t>
      </w:r>
      <w:proofErr w:type="gramEnd"/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相關公司治理進修總時數為</w:t>
      </w:r>
      <w:r w:rsidRPr="003817EB">
        <w:rPr>
          <w:rFonts w:ascii="Times New Roman" w:eastAsia="標楷體" w:hAnsi="Times New Roman"/>
          <w:kern w:val="0"/>
          <w:sz w:val="28"/>
          <w:szCs w:val="26"/>
        </w:rPr>
        <w:t>33</w:t>
      </w:r>
      <w:r w:rsidRPr="003817EB">
        <w:rPr>
          <w:rFonts w:ascii="Times New Roman" w:eastAsia="標楷體" w:hAnsi="Times New Roman" w:hint="eastAsia"/>
          <w:kern w:val="0"/>
          <w:sz w:val="28"/>
          <w:szCs w:val="26"/>
        </w:rPr>
        <w:t>小時。</w:t>
      </w:r>
    </w:p>
    <w:p w14:paraId="4347E519" w14:textId="77777777" w:rsidR="000F7329" w:rsidRPr="003817EB" w:rsidRDefault="000F7329" w:rsidP="00A72FA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</w:p>
    <w:sectPr w:rsidR="000F7329" w:rsidRPr="003817EB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0F7329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17EB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0F76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12</cp:revision>
  <dcterms:created xsi:type="dcterms:W3CDTF">2020-01-06T03:07:00Z</dcterms:created>
  <dcterms:modified xsi:type="dcterms:W3CDTF">2021-01-14T09:05:00Z</dcterms:modified>
</cp:coreProperties>
</file>