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EA9" w:rsidRPr="00D74EA9" w:rsidRDefault="00D74EA9" w:rsidP="00D74EA9">
      <w:pPr>
        <w:pStyle w:val="Web"/>
        <w:snapToGrid w:val="0"/>
        <w:spacing w:beforeLines="50" w:before="180" w:beforeAutospacing="0" w:after="0" w:afterAutospacing="0" w:line="300" w:lineRule="auto"/>
        <w:rPr>
          <w:rFonts w:ascii="Times New Roman" w:hAnsi="Times New Roman" w:cs="Times New Roman"/>
        </w:rPr>
      </w:pPr>
      <w:r w:rsidRPr="00D74EA9">
        <w:rPr>
          <w:rFonts w:asciiTheme="majorEastAsia" w:eastAsiaTheme="majorEastAsia" w:hAnsiTheme="majorEastAsia"/>
          <w:b/>
          <w:sz w:val="28"/>
          <w:szCs w:val="28"/>
        </w:rPr>
        <w:t>WWF</w:t>
      </w:r>
      <w:r w:rsidRPr="00D74EA9">
        <w:rPr>
          <w:rFonts w:asciiTheme="majorEastAsia" w:eastAsiaTheme="majorEastAsia" w:hAnsiTheme="majorEastAsia" w:hint="eastAsia"/>
          <w:b/>
          <w:sz w:val="28"/>
          <w:szCs w:val="28"/>
        </w:rPr>
        <w:t>發佈農、林以及水產品責任投資指引(WWF, 2012/9/25)</w:t>
      </w:r>
    </w:p>
    <w:p w:rsidR="00D74EA9" w:rsidRDefault="00D74EA9" w:rsidP="00D74EA9">
      <w:pPr>
        <w:pStyle w:val="Web"/>
        <w:snapToGrid w:val="0"/>
        <w:spacing w:beforeLines="50" w:before="180" w:beforeAutospacing="0" w:after="0" w:afterAutospacing="0" w:line="300" w:lineRule="auto"/>
        <w:rPr>
          <w:rFonts w:ascii="Times New Roman" w:hAnsi="Times New Roman" w:cs="Times New Roman" w:hint="eastAsia"/>
        </w:rPr>
      </w:pPr>
      <w:hyperlink r:id="rId6" w:history="1">
        <w:r w:rsidRPr="005A5F0A">
          <w:rPr>
            <w:rStyle w:val="a3"/>
            <w:rFonts w:ascii="Times New Roman" w:hAnsi="Times New Roman" w:cs="Times New Roman" w:hint="eastAsia"/>
          </w:rPr>
          <w:t>h</w:t>
        </w:r>
        <w:r w:rsidRPr="005A5F0A">
          <w:rPr>
            <w:rStyle w:val="a3"/>
            <w:rFonts w:ascii="Times New Roman" w:hAnsi="Times New Roman" w:cs="Times New Roman"/>
          </w:rPr>
          <w:t>ttp://www.environmentalleader.com/2012/09/25/wwf-publishes-guide-to-responsible-commodities-investing/</w:t>
        </w:r>
      </w:hyperlink>
    </w:p>
    <w:p w:rsidR="00D74EA9" w:rsidRPr="00465CC5" w:rsidRDefault="00D74EA9" w:rsidP="00D74EA9">
      <w:pPr>
        <w:pStyle w:val="Web"/>
        <w:snapToGrid w:val="0"/>
        <w:spacing w:beforeLines="50" w:before="180" w:beforeAutospacing="0" w:after="0" w:afterAutospacing="0" w:line="300" w:lineRule="auto"/>
        <w:rPr>
          <w:rFonts w:ascii="Times New Roman" w:hAnsi="Times New Roman" w:cs="Times New Roman"/>
          <w:color w:val="000000"/>
        </w:rPr>
      </w:pPr>
      <w:r w:rsidRPr="00465CC5">
        <w:rPr>
          <w:rFonts w:ascii="Times New Roman" w:hAnsi="Times New Roman" w:cs="Times New Roman" w:hint="eastAsia"/>
          <w:color w:val="000000"/>
        </w:rPr>
        <w:t>世界</w:t>
      </w:r>
      <w:r>
        <w:rPr>
          <w:rFonts w:ascii="Times New Roman" w:hAnsi="Times New Roman" w:cs="Times New Roman" w:hint="eastAsia"/>
          <w:color w:val="000000"/>
        </w:rPr>
        <w:t>自然</w:t>
      </w:r>
      <w:r w:rsidRPr="00465CC5">
        <w:rPr>
          <w:rFonts w:ascii="Times New Roman" w:hAnsi="Times New Roman" w:cs="Times New Roman" w:hint="eastAsia"/>
          <w:color w:val="000000"/>
        </w:rPr>
        <w:t>基金會</w:t>
      </w:r>
      <w:r>
        <w:rPr>
          <w:rFonts w:ascii="Times New Roman" w:hAnsi="Times New Roman" w:cs="Times New Roman" w:hint="eastAsia"/>
          <w:color w:val="000000"/>
        </w:rPr>
        <w:t>(WWF)</w:t>
      </w:r>
      <w:r>
        <w:rPr>
          <w:rFonts w:ascii="Times New Roman" w:hAnsi="Times New Roman" w:cs="Times New Roman" w:hint="eastAsia"/>
          <w:color w:val="000000"/>
        </w:rPr>
        <w:t>在</w:t>
      </w:r>
      <w:r>
        <w:rPr>
          <w:rFonts w:ascii="Times New Roman" w:hAnsi="Times New Roman" w:cs="Times New Roman"/>
          <w:color w:val="000000"/>
        </w:rPr>
        <w:t>2012</w:t>
      </w:r>
      <w:r>
        <w:rPr>
          <w:rFonts w:ascii="Times New Roman" w:hAnsi="Times New Roman" w:cs="Times New Roman" w:hint="eastAsia"/>
          <w:color w:val="000000"/>
        </w:rPr>
        <w:t>年</w:t>
      </w:r>
      <w:r>
        <w:rPr>
          <w:rFonts w:ascii="Times New Roman" w:hAnsi="Times New Roman" w:cs="Times New Roman"/>
          <w:color w:val="000000"/>
        </w:rPr>
        <w:t>9</w:t>
      </w:r>
      <w:r>
        <w:rPr>
          <w:rFonts w:ascii="Times New Roman" w:hAnsi="Times New Roman" w:cs="Times New Roman" w:hint="eastAsia"/>
          <w:color w:val="000000"/>
        </w:rPr>
        <w:t>月</w:t>
      </w:r>
      <w:r>
        <w:rPr>
          <w:rFonts w:ascii="Times New Roman" w:hAnsi="Times New Roman" w:cs="Times New Roman"/>
          <w:color w:val="000000"/>
        </w:rPr>
        <w:t> 25</w:t>
      </w:r>
      <w:r>
        <w:rPr>
          <w:rFonts w:ascii="Times New Roman" w:hAnsi="Times New Roman" w:cs="Times New Roman" w:hint="eastAsia"/>
          <w:color w:val="000000"/>
        </w:rPr>
        <w:t>日於</w:t>
      </w:r>
      <w:r w:rsidRPr="00465CC5">
        <w:rPr>
          <w:rFonts w:ascii="Times New Roman" w:hAnsi="Times New Roman" w:cs="Times New Roman" w:hint="eastAsia"/>
          <w:color w:val="000000"/>
        </w:rPr>
        <w:t>新加坡召開的</w:t>
      </w:r>
      <w:r w:rsidRPr="00465CC5">
        <w:rPr>
          <w:rFonts w:ascii="Times New Roman" w:hAnsi="Times New Roman" w:cs="Times New Roman"/>
          <w:color w:val="000000"/>
        </w:rPr>
        <w:t>Global Ag</w:t>
      </w:r>
      <w:r>
        <w:rPr>
          <w:rFonts w:ascii="Times New Roman" w:hAnsi="Times New Roman" w:cs="Times New Roman" w:hint="eastAsia"/>
          <w:color w:val="000000"/>
        </w:rPr>
        <w:t xml:space="preserve"> </w:t>
      </w:r>
      <w:r w:rsidRPr="00465CC5">
        <w:rPr>
          <w:rFonts w:ascii="Times New Roman" w:hAnsi="Times New Roman" w:cs="Times New Roman"/>
          <w:color w:val="000000"/>
        </w:rPr>
        <w:t>Investing Asia conference</w:t>
      </w:r>
      <w:r w:rsidRPr="00465CC5">
        <w:rPr>
          <w:rFonts w:ascii="Times New Roman" w:hAnsi="Times New Roman" w:cs="Times New Roman" w:hint="eastAsia"/>
          <w:color w:val="000000"/>
        </w:rPr>
        <w:t>（全球農業投資亞洲會議）</w:t>
      </w:r>
      <w:r>
        <w:rPr>
          <w:rFonts w:ascii="Times New Roman" w:hAnsi="Times New Roman" w:cs="Times New Roman" w:hint="eastAsia"/>
          <w:color w:val="000000"/>
        </w:rPr>
        <w:t>上，發布</w:t>
      </w:r>
      <w:r w:rsidRPr="00465CC5">
        <w:rPr>
          <w:rFonts w:ascii="Times New Roman" w:hAnsi="Times New Roman" w:cs="Times New Roman" w:hint="eastAsia"/>
          <w:color w:val="000000"/>
        </w:rPr>
        <w:t>了首</w:t>
      </w:r>
      <w:r>
        <w:rPr>
          <w:rFonts w:ascii="Times New Roman" w:hAnsi="Times New Roman" w:cs="Times New Roman" w:hint="eastAsia"/>
          <w:color w:val="000000"/>
        </w:rPr>
        <w:t>次</w:t>
      </w:r>
      <w:r w:rsidRPr="00465CC5">
        <w:rPr>
          <w:rFonts w:ascii="Times New Roman" w:hAnsi="Times New Roman" w:cs="Times New Roman" w:hint="eastAsia"/>
          <w:color w:val="000000"/>
        </w:rPr>
        <w:t>針對十項主要大宗商品</w:t>
      </w:r>
      <w:r>
        <w:rPr>
          <w:rFonts w:ascii="Times New Roman" w:hAnsi="Times New Roman" w:cs="Times New Roman" w:hint="eastAsia"/>
          <w:color w:val="000000"/>
        </w:rPr>
        <w:t>產業</w:t>
      </w:r>
      <w:r w:rsidRPr="00465CC5">
        <w:rPr>
          <w:rFonts w:ascii="Times New Roman" w:hAnsi="Times New Roman" w:cs="Times New Roman" w:hint="eastAsia"/>
          <w:color w:val="000000"/>
        </w:rPr>
        <w:t>的責任投資指引。</w:t>
      </w:r>
      <w:r>
        <w:rPr>
          <w:rFonts w:ascii="Times New Roman" w:hAnsi="Times New Roman" w:cs="Times New Roman" w:hint="eastAsia"/>
          <w:color w:val="000000"/>
        </w:rPr>
        <w:t>這份名為</w:t>
      </w:r>
      <w:proofErr w:type="gramStart"/>
      <w:r w:rsidRPr="00465CC5">
        <w:rPr>
          <w:rFonts w:ascii="Times New Roman" w:hAnsi="Times New Roman" w:cs="Times New Roman" w:hint="eastAsia"/>
          <w:color w:val="000000"/>
        </w:rPr>
        <w:t>《</w:t>
      </w:r>
      <w:proofErr w:type="gramEnd"/>
      <w:r w:rsidRPr="00465CC5">
        <w:rPr>
          <w:rFonts w:ascii="Times New Roman" w:hAnsi="Times New Roman" w:cs="Times New Roman"/>
          <w:color w:val="000000"/>
        </w:rPr>
        <w:t>2050</w:t>
      </w:r>
      <w:r>
        <w:rPr>
          <w:rFonts w:ascii="Times New Roman" w:hAnsi="Times New Roman" w:cs="Times New Roman" w:hint="eastAsia"/>
          <w:color w:val="000000"/>
        </w:rPr>
        <w:t>準則</w:t>
      </w:r>
      <w:r w:rsidRPr="00465CC5">
        <w:rPr>
          <w:rFonts w:ascii="Times New Roman" w:hAnsi="Times New Roman" w:cs="Times New Roman" w:hint="eastAsia"/>
          <w:color w:val="000000"/>
        </w:rPr>
        <w:t>：農業、林業以及</w:t>
      </w:r>
      <w:r>
        <w:rPr>
          <w:rFonts w:ascii="Times New Roman" w:hAnsi="Times New Roman" w:cs="Times New Roman" w:hint="eastAsia"/>
          <w:color w:val="000000"/>
        </w:rPr>
        <w:t>水產商品</w:t>
      </w:r>
      <w:r w:rsidRPr="00465CC5">
        <w:rPr>
          <w:rFonts w:ascii="Times New Roman" w:hAnsi="Times New Roman" w:cs="Times New Roman" w:hint="eastAsia"/>
          <w:color w:val="000000"/>
        </w:rPr>
        <w:t>責任投資指引</w:t>
      </w:r>
      <w:proofErr w:type="gramStart"/>
      <w:r w:rsidRPr="00465CC5">
        <w:rPr>
          <w:rFonts w:ascii="Times New Roman" w:hAnsi="Times New Roman" w:cs="Times New Roman" w:hint="eastAsia"/>
          <w:color w:val="000000"/>
        </w:rPr>
        <w:t>》（</w:t>
      </w:r>
      <w:proofErr w:type="gramEnd"/>
      <w:r w:rsidRPr="00465CC5">
        <w:rPr>
          <w:rFonts w:ascii="Times New Roman" w:hAnsi="Times New Roman" w:cs="Times New Roman"/>
          <w:color w:val="000000"/>
        </w:rPr>
        <w:fldChar w:fldCharType="begin"/>
      </w:r>
      <w:r w:rsidRPr="00465CC5">
        <w:rPr>
          <w:rFonts w:ascii="Times New Roman" w:hAnsi="Times New Roman" w:cs="Times New Roman"/>
          <w:color w:val="000000"/>
        </w:rPr>
        <w:instrText xml:space="preserve"> HYPERLINK "http://wwf.panda.org/what_we_do/how_we_work/businesses/transforming_markets/solutions/methodology/commodity_financing/2050_criteria/" </w:instrText>
      </w:r>
      <w:r w:rsidRPr="00465CC5">
        <w:rPr>
          <w:rFonts w:ascii="Times New Roman" w:hAnsi="Times New Roman" w:cs="Times New Roman"/>
          <w:color w:val="000000"/>
        </w:rPr>
        <w:fldChar w:fldCharType="separate"/>
      </w:r>
      <w:r w:rsidRPr="00465CC5">
        <w:rPr>
          <w:rStyle w:val="a3"/>
          <w:rFonts w:ascii="Times New Roman" w:hAnsi="Times New Roman" w:cs="Times New Roman"/>
        </w:rPr>
        <w:t>The 2050 Criteria: Guide to Responsible Investment in Agricultural, Forest, and Seafood Commodities</w:t>
      </w:r>
      <w:r w:rsidRPr="00465CC5">
        <w:rPr>
          <w:rFonts w:ascii="Times New Roman" w:hAnsi="Times New Roman" w:cs="Times New Roman"/>
          <w:color w:val="000000"/>
        </w:rPr>
        <w:fldChar w:fldCharType="end"/>
      </w:r>
      <w:proofErr w:type="gramStart"/>
      <w:r w:rsidRPr="00465CC5">
        <w:rPr>
          <w:rFonts w:ascii="Times New Roman" w:hAnsi="Times New Roman" w:cs="Times New Roman" w:hint="eastAsia"/>
          <w:color w:val="000000"/>
        </w:rPr>
        <w:t>）</w:t>
      </w:r>
      <w:proofErr w:type="gramEnd"/>
      <w:r>
        <w:rPr>
          <w:rFonts w:ascii="Times New Roman" w:hAnsi="Times New Roman" w:cs="Times New Roman" w:hint="eastAsia"/>
          <w:color w:val="000000"/>
        </w:rPr>
        <w:t>的文件，旨在</w:t>
      </w:r>
      <w:r w:rsidRPr="00465CC5">
        <w:rPr>
          <w:rFonts w:ascii="Times New Roman" w:hAnsi="Times New Roman" w:cs="Times New Roman" w:hint="eastAsia"/>
          <w:color w:val="000000"/>
        </w:rPr>
        <w:t>幫助主流投資</w:t>
      </w:r>
      <w:r>
        <w:rPr>
          <w:rFonts w:ascii="Times New Roman" w:hAnsi="Times New Roman" w:cs="Times New Roman" w:hint="eastAsia"/>
          <w:color w:val="000000"/>
        </w:rPr>
        <w:t>人</w:t>
      </w:r>
      <w:r w:rsidRPr="00465CC5">
        <w:rPr>
          <w:rFonts w:ascii="Times New Roman" w:hAnsi="Times New Roman" w:cs="Times New Roman" w:hint="eastAsia"/>
          <w:color w:val="000000"/>
        </w:rPr>
        <w:t>，尤其是銀行、投資者以及金融分析師駕馭農業、林業以及</w:t>
      </w:r>
      <w:r>
        <w:rPr>
          <w:rFonts w:ascii="Times New Roman" w:hAnsi="Times New Roman" w:cs="Times New Roman" w:hint="eastAsia"/>
          <w:color w:val="000000"/>
        </w:rPr>
        <w:t>水</w:t>
      </w:r>
      <w:r w:rsidRPr="00465CC5">
        <w:rPr>
          <w:rFonts w:ascii="Times New Roman" w:hAnsi="Times New Roman" w:cs="Times New Roman" w:hint="eastAsia"/>
          <w:color w:val="000000"/>
        </w:rPr>
        <w:t>產行業的投資複雜性，並辨別負責任的公司和</w:t>
      </w:r>
      <w:r>
        <w:rPr>
          <w:rFonts w:ascii="Times New Roman" w:hAnsi="Times New Roman" w:cs="Times New Roman" w:hint="eastAsia"/>
          <w:color w:val="000000"/>
        </w:rPr>
        <w:t>專案</w:t>
      </w:r>
      <w:r w:rsidRPr="00465CC5">
        <w:rPr>
          <w:rFonts w:ascii="Times New Roman" w:hAnsi="Times New Roman" w:cs="Times New Roman" w:hint="eastAsia"/>
          <w:color w:val="000000"/>
        </w:rPr>
        <w:t>。</w:t>
      </w:r>
    </w:p>
    <w:p w:rsidR="00D74EA9" w:rsidRDefault="00D74EA9" w:rsidP="00D74EA9">
      <w:pPr>
        <w:pStyle w:val="Web"/>
        <w:snapToGrid w:val="0"/>
        <w:spacing w:beforeLines="50" w:before="180" w:beforeAutospacing="0" w:after="0" w:afterAutospacing="0" w:line="300" w:lineRule="auto"/>
        <w:rPr>
          <w:rFonts w:ascii="Times New Roman" w:hAnsi="Times New Roman" w:cs="Times New Roman" w:hint="eastAsia"/>
          <w:color w:val="000000"/>
        </w:rPr>
      </w:pPr>
      <w:r w:rsidRPr="00465CC5">
        <w:rPr>
          <w:rFonts w:ascii="Times New Roman" w:hAnsi="Times New Roman" w:cs="Times New Roman" w:hint="eastAsia"/>
          <w:color w:val="000000"/>
        </w:rPr>
        <w:t>《</w:t>
      </w:r>
      <w:r w:rsidRPr="00465CC5">
        <w:rPr>
          <w:rFonts w:ascii="Times New Roman" w:hAnsi="Times New Roman" w:cs="Times New Roman"/>
          <w:color w:val="000000"/>
        </w:rPr>
        <w:t>2050</w:t>
      </w:r>
      <w:r>
        <w:rPr>
          <w:rFonts w:ascii="Times New Roman" w:hAnsi="Times New Roman" w:cs="Times New Roman" w:hint="eastAsia"/>
          <w:color w:val="000000"/>
        </w:rPr>
        <w:t>準則</w:t>
      </w:r>
      <w:r w:rsidRPr="00465CC5">
        <w:rPr>
          <w:rFonts w:ascii="Times New Roman" w:hAnsi="Times New Roman" w:cs="Times New Roman" w:hint="eastAsia"/>
          <w:color w:val="000000"/>
        </w:rPr>
        <w:t>》</w:t>
      </w:r>
      <w:r>
        <w:rPr>
          <w:rFonts w:ascii="Times New Roman" w:hAnsi="Times New Roman" w:cs="Times New Roman" w:hint="eastAsia"/>
          <w:color w:val="000000"/>
        </w:rPr>
        <w:t>針對這十項大宗商品行業，指出其相關的環境與社會風險，如生物多樣性流失與保育、氣候變遷與空氣品質、土壤流失與退化、水資源利用、塑膠與毒物、優養化、疾病與動物照顧、勞工、地方與原住民社區，以及社會與消費者。另外本文件也利用關鍵績效準則</w:t>
      </w:r>
      <w:r>
        <w:rPr>
          <w:rFonts w:ascii="Times New Roman" w:hAnsi="Times New Roman" w:cs="Times New Roman" w:hint="eastAsia"/>
          <w:color w:val="000000"/>
        </w:rPr>
        <w:t>(</w:t>
      </w:r>
      <w:r w:rsidRPr="00E525E4">
        <w:rPr>
          <w:rFonts w:ascii="Times New Roman" w:hAnsi="Times New Roman" w:cs="Times New Roman"/>
        </w:rPr>
        <w:t>key performance criteria</w:t>
      </w:r>
      <w:r>
        <w:rPr>
          <w:rFonts w:ascii="Times New Roman" w:hAnsi="Times New Roman" w:cs="Times New Roman" w:hint="eastAsia"/>
          <w:color w:val="000000"/>
        </w:rPr>
        <w:t>)</w:t>
      </w:r>
      <w:r>
        <w:rPr>
          <w:rFonts w:ascii="Times New Roman" w:hAnsi="Times New Roman" w:cs="Times New Roman" w:hint="eastAsia"/>
          <w:color w:val="000000"/>
        </w:rPr>
        <w:t>來協助辨識對環境與社會負責任的公司與專案。</w:t>
      </w:r>
    </w:p>
    <w:p w:rsidR="00D74EA9" w:rsidRPr="00465CC5" w:rsidRDefault="00D74EA9" w:rsidP="00D74EA9">
      <w:pPr>
        <w:pStyle w:val="Web"/>
        <w:snapToGrid w:val="0"/>
        <w:spacing w:beforeLines="50" w:before="180" w:beforeAutospacing="0" w:after="0" w:afterAutospacing="0" w:line="300" w:lineRule="auto"/>
        <w:rPr>
          <w:rFonts w:ascii="Times New Roman" w:hAnsi="Times New Roman" w:cs="Times New Roman"/>
          <w:color w:val="000000"/>
        </w:rPr>
      </w:pPr>
      <w:r w:rsidRPr="00465CC5">
        <w:rPr>
          <w:rFonts w:ascii="Times New Roman" w:hAnsi="Times New Roman" w:cs="Times New Roman"/>
          <w:color w:val="000000"/>
        </w:rPr>
        <w:t xml:space="preserve"> </w:t>
      </w:r>
      <w:r>
        <w:rPr>
          <w:rFonts w:ascii="Times New Roman" w:hAnsi="Times New Roman" w:cs="Times New Roman"/>
          <w:color w:val="000000"/>
        </w:rPr>
        <w:t>「</w:t>
      </w:r>
      <w:r w:rsidRPr="00465CC5">
        <w:rPr>
          <w:rFonts w:ascii="Times New Roman" w:hAnsi="Times New Roman" w:cs="Times New Roman" w:hint="eastAsia"/>
          <w:color w:val="000000"/>
        </w:rPr>
        <w:t>糧食安全是</w:t>
      </w:r>
      <w:r w:rsidRPr="00465CC5">
        <w:rPr>
          <w:rFonts w:ascii="Times New Roman" w:hAnsi="Times New Roman" w:cs="Times New Roman"/>
          <w:color w:val="000000"/>
        </w:rPr>
        <w:t>21</w:t>
      </w:r>
      <w:r w:rsidRPr="00465CC5">
        <w:rPr>
          <w:rFonts w:ascii="Times New Roman" w:hAnsi="Times New Roman" w:cs="Times New Roman" w:hint="eastAsia"/>
          <w:color w:val="000000"/>
        </w:rPr>
        <w:t>世紀的主要挑戰。我們毫無疑問需要更多的農業投資</w:t>
      </w:r>
      <w:r>
        <w:rPr>
          <w:rFonts w:ascii="Times New Roman" w:hAnsi="Times New Roman" w:cs="Times New Roman" w:hint="eastAsia"/>
          <w:color w:val="000000"/>
        </w:rPr>
        <w:t>」</w:t>
      </w:r>
      <w:r w:rsidRPr="00465CC5">
        <w:rPr>
          <w:rFonts w:ascii="Times New Roman" w:hAnsi="Times New Roman" w:cs="Times New Roman" w:hint="eastAsia"/>
          <w:color w:val="000000"/>
        </w:rPr>
        <w:t>，</w:t>
      </w:r>
      <w:r w:rsidRPr="00465CC5">
        <w:rPr>
          <w:rFonts w:ascii="Times New Roman" w:hAnsi="Times New Roman" w:cs="Times New Roman"/>
          <w:color w:val="000000"/>
        </w:rPr>
        <w:t xml:space="preserve"> WWF</w:t>
      </w:r>
      <w:r w:rsidRPr="00465CC5">
        <w:rPr>
          <w:rFonts w:ascii="Times New Roman" w:hAnsi="Times New Roman" w:cs="Times New Roman" w:hint="eastAsia"/>
          <w:color w:val="000000"/>
        </w:rPr>
        <w:t>的</w:t>
      </w:r>
      <w:r w:rsidRPr="00465CC5">
        <w:rPr>
          <w:rFonts w:ascii="Times New Roman" w:hAnsi="Times New Roman" w:cs="Times New Roman"/>
          <w:color w:val="000000"/>
        </w:rPr>
        <w:t>Joshua Levin</w:t>
      </w:r>
      <w:r>
        <w:rPr>
          <w:rFonts w:ascii="Times New Roman" w:hAnsi="Times New Roman" w:cs="Times New Roman" w:hint="eastAsia"/>
          <w:color w:val="000000"/>
        </w:rPr>
        <w:t>指出：</w:t>
      </w:r>
      <w:r>
        <w:rPr>
          <w:rFonts w:ascii="Times New Roman" w:hAnsi="Times New Roman" w:cs="Times New Roman"/>
          <w:color w:val="000000"/>
        </w:rPr>
        <w:t>「</w:t>
      </w:r>
      <w:proofErr w:type="gramStart"/>
      <w:r w:rsidRPr="00465CC5">
        <w:rPr>
          <w:rFonts w:ascii="Times New Roman" w:hAnsi="Times New Roman" w:cs="Times New Roman" w:hint="eastAsia"/>
          <w:color w:val="000000"/>
        </w:rPr>
        <w:t>而</w:t>
      </w:r>
      <w:proofErr w:type="gramEnd"/>
      <w:r w:rsidRPr="00465CC5">
        <w:rPr>
          <w:rFonts w:ascii="Times New Roman" w:hAnsi="Times New Roman" w:cs="Times New Roman" w:hint="eastAsia"/>
          <w:color w:val="000000"/>
        </w:rPr>
        <w:t>，投資者卻陷入了各種實質的、聲譽的和系統的投資風險沼澤。指南的問世無疑提供了這一複雜問題的解決指引。</w:t>
      </w:r>
      <w:r>
        <w:rPr>
          <w:rFonts w:ascii="Times New Roman" w:hAnsi="Times New Roman" w:cs="Times New Roman" w:hint="eastAsia"/>
          <w:color w:val="000000"/>
        </w:rPr>
        <w:t>」</w:t>
      </w:r>
    </w:p>
    <w:p w:rsidR="00D74EA9" w:rsidRPr="00465CC5" w:rsidRDefault="00D74EA9" w:rsidP="00D74EA9">
      <w:pPr>
        <w:pStyle w:val="Web"/>
        <w:snapToGrid w:val="0"/>
        <w:spacing w:beforeLines="50" w:before="180" w:beforeAutospacing="0" w:after="0" w:afterAutospacing="0" w:line="300" w:lineRule="auto"/>
        <w:rPr>
          <w:rFonts w:ascii="Times New Roman" w:hAnsi="Times New Roman" w:cs="Times New Roman"/>
          <w:color w:val="000000"/>
        </w:rPr>
      </w:pPr>
      <w:r w:rsidRPr="00465CC5">
        <w:rPr>
          <w:rFonts w:ascii="Times New Roman" w:hAnsi="Times New Roman" w:cs="Times New Roman" w:hint="eastAsia"/>
          <w:color w:val="000000"/>
        </w:rPr>
        <w:t>《</w:t>
      </w:r>
      <w:r w:rsidRPr="00465CC5">
        <w:rPr>
          <w:rFonts w:ascii="Times New Roman" w:hAnsi="Times New Roman" w:cs="Times New Roman"/>
          <w:color w:val="000000"/>
        </w:rPr>
        <w:t>2050</w:t>
      </w:r>
      <w:r>
        <w:rPr>
          <w:rFonts w:ascii="Times New Roman" w:hAnsi="Times New Roman" w:cs="Times New Roman" w:hint="eastAsia"/>
          <w:color w:val="000000"/>
        </w:rPr>
        <w:t>準則</w:t>
      </w:r>
      <w:r w:rsidRPr="00465CC5">
        <w:rPr>
          <w:rFonts w:ascii="Times New Roman" w:hAnsi="Times New Roman" w:cs="Times New Roman" w:hint="eastAsia"/>
          <w:color w:val="000000"/>
        </w:rPr>
        <w:t>》包含</w:t>
      </w:r>
      <w:r>
        <w:rPr>
          <w:rFonts w:ascii="Times New Roman" w:hAnsi="Times New Roman" w:cs="Times New Roman" w:hint="eastAsia"/>
          <w:color w:val="000000"/>
        </w:rPr>
        <w:t>了</w:t>
      </w:r>
      <w:r w:rsidRPr="00465CC5">
        <w:rPr>
          <w:rFonts w:ascii="Times New Roman" w:hAnsi="Times New Roman" w:cs="Times New Roman"/>
          <w:color w:val="000000"/>
        </w:rPr>
        <w:t>10</w:t>
      </w:r>
      <w:r w:rsidRPr="00465CC5">
        <w:rPr>
          <w:rFonts w:ascii="Times New Roman" w:hAnsi="Times New Roman" w:cs="Times New Roman" w:hint="eastAsia"/>
          <w:color w:val="000000"/>
        </w:rPr>
        <w:t>項主要的大宗商品行業，</w:t>
      </w:r>
      <w:r>
        <w:rPr>
          <w:rFonts w:ascii="Times New Roman" w:hAnsi="Times New Roman" w:cs="Times New Roman" w:hint="eastAsia"/>
          <w:color w:val="000000"/>
        </w:rPr>
        <w:t>包括</w:t>
      </w:r>
      <w:r w:rsidRPr="00465CC5">
        <w:rPr>
          <w:rFonts w:ascii="Times New Roman" w:hAnsi="Times New Roman" w:cs="Times New Roman" w:hint="eastAsia"/>
          <w:color w:val="000000"/>
        </w:rPr>
        <w:t>水產、牛肉、棉花、牛奶、棕櫚油、大豆、糖、木材、紙漿、紙、野生海鮮和生物能源。</w:t>
      </w:r>
    </w:p>
    <w:p w:rsidR="00D74EA9" w:rsidRDefault="00D74EA9" w:rsidP="00267662">
      <w:pPr>
        <w:widowControl/>
        <w:jc w:val="center"/>
        <w:rPr>
          <w:rFonts w:asciiTheme="majorEastAsia" w:eastAsiaTheme="majorEastAsia" w:hAnsiTheme="majorEastAsia" w:cs="新細明體" w:hint="eastAsia"/>
          <w:b/>
          <w:kern w:val="0"/>
          <w:sz w:val="28"/>
          <w:szCs w:val="28"/>
        </w:rPr>
      </w:pPr>
    </w:p>
    <w:p w:rsidR="00D74EA9" w:rsidRPr="00267662" w:rsidRDefault="00D74EA9" w:rsidP="00D74EA9">
      <w:pPr>
        <w:widowControl/>
        <w:rPr>
          <w:rFonts w:asciiTheme="majorEastAsia" w:eastAsiaTheme="majorEastAsia" w:hAnsiTheme="majorEastAsia" w:cs="新細明體"/>
          <w:b/>
          <w:kern w:val="0"/>
          <w:sz w:val="28"/>
          <w:szCs w:val="28"/>
        </w:rPr>
      </w:pPr>
      <w:proofErr w:type="gramStart"/>
      <w:r w:rsidRPr="00267662">
        <w:rPr>
          <w:rFonts w:asciiTheme="majorEastAsia" w:eastAsiaTheme="majorEastAsia" w:hAnsiTheme="majorEastAsia" w:cs="新細明體" w:hint="eastAsia"/>
          <w:b/>
          <w:kern w:val="0"/>
          <w:sz w:val="28"/>
          <w:szCs w:val="28"/>
        </w:rPr>
        <w:t>道瓊永續</w:t>
      </w:r>
      <w:proofErr w:type="gramEnd"/>
      <w:r w:rsidRPr="00267662">
        <w:rPr>
          <w:rFonts w:asciiTheme="majorEastAsia" w:eastAsiaTheme="majorEastAsia" w:hAnsiTheme="majorEastAsia" w:cs="新細明體" w:hint="eastAsia"/>
          <w:b/>
          <w:kern w:val="0"/>
          <w:sz w:val="28"/>
          <w:szCs w:val="28"/>
        </w:rPr>
        <w:t>指數2012年評選結果出爐</w:t>
      </w:r>
      <w:r>
        <w:rPr>
          <w:rFonts w:asciiTheme="majorEastAsia" w:eastAsiaTheme="majorEastAsia" w:hAnsiTheme="majorEastAsia" w:cs="新細明體" w:hint="eastAsia"/>
          <w:b/>
          <w:kern w:val="0"/>
          <w:sz w:val="28"/>
          <w:szCs w:val="28"/>
        </w:rPr>
        <w:t>(SAM, 2012/9/13)</w:t>
      </w:r>
    </w:p>
    <w:p w:rsidR="00D74EA9" w:rsidRPr="00AE73BB" w:rsidRDefault="00D74EA9" w:rsidP="00D74EA9">
      <w:pPr>
        <w:widowControl/>
        <w:snapToGrid w:val="0"/>
        <w:spacing w:beforeLines="50" w:before="180" w:line="300" w:lineRule="auto"/>
        <w:rPr>
          <w:rFonts w:ascii="Times New Roman" w:eastAsia="新細明體" w:hAnsi="Times New Roman" w:cs="Times New Roman"/>
          <w:color w:val="000000"/>
          <w:kern w:val="0"/>
          <w:szCs w:val="24"/>
          <w:shd w:val="clear" w:color="auto" w:fill="FFFFFF"/>
        </w:rPr>
      </w:pPr>
      <w:hyperlink r:id="rId7" w:history="1">
        <w:r w:rsidRPr="00AE73BB">
          <w:rPr>
            <w:rStyle w:val="a3"/>
            <w:rFonts w:ascii="Times New Roman" w:eastAsia="新細明體" w:hAnsi="Times New Roman" w:cs="Times New Roman"/>
            <w:kern w:val="0"/>
            <w:szCs w:val="24"/>
            <w:shd w:val="clear" w:color="auto" w:fill="FFFFFF"/>
          </w:rPr>
          <w:t>http://www.emarsys.net/custloads/125736536/md_4</w:t>
        </w:r>
        <w:r w:rsidRPr="00AE73BB">
          <w:rPr>
            <w:rStyle w:val="a3"/>
            <w:rFonts w:ascii="Times New Roman" w:eastAsia="新細明體" w:hAnsi="Times New Roman" w:cs="Times New Roman"/>
            <w:kern w:val="0"/>
            <w:szCs w:val="24"/>
            <w:shd w:val="clear" w:color="auto" w:fill="FFFFFF"/>
          </w:rPr>
          <w:t>9</w:t>
        </w:r>
        <w:r w:rsidRPr="00AE73BB">
          <w:rPr>
            <w:rStyle w:val="a3"/>
            <w:rFonts w:ascii="Times New Roman" w:eastAsia="新細明體" w:hAnsi="Times New Roman" w:cs="Times New Roman"/>
            <w:kern w:val="0"/>
            <w:szCs w:val="24"/>
            <w:shd w:val="clear" w:color="auto" w:fill="FFFFFF"/>
          </w:rPr>
          <w:t>2835.pdf</w:t>
        </w:r>
      </w:hyperlink>
    </w:p>
    <w:p w:rsidR="00D74EA9" w:rsidRPr="004376E3" w:rsidRDefault="00D74EA9" w:rsidP="00D74EA9">
      <w:pPr>
        <w:widowControl/>
        <w:snapToGrid w:val="0"/>
        <w:spacing w:beforeLines="50" w:before="180" w:line="300" w:lineRule="auto"/>
        <w:rPr>
          <w:rFonts w:ascii="Arial" w:eastAsia="新細明體" w:hAnsi="Arial" w:cs="Arial"/>
          <w:color w:val="000000"/>
          <w:kern w:val="0"/>
          <w:szCs w:val="24"/>
          <w:shd w:val="clear" w:color="auto" w:fill="FFFFFF"/>
        </w:rPr>
      </w:pPr>
      <w:proofErr w:type="gramStart"/>
      <w:r>
        <w:rPr>
          <w:rFonts w:ascii="Arial" w:eastAsia="新細明體" w:hAnsi="Arial" w:cs="Arial" w:hint="eastAsia"/>
          <w:color w:val="000000"/>
          <w:kern w:val="0"/>
          <w:szCs w:val="24"/>
          <w:shd w:val="clear" w:color="auto" w:fill="FFFFFF"/>
        </w:rPr>
        <w:t>道瓊永續</w:t>
      </w:r>
      <w:proofErr w:type="gramEnd"/>
      <w:r>
        <w:rPr>
          <w:rFonts w:ascii="Arial" w:eastAsia="新細明體" w:hAnsi="Arial" w:cs="Arial" w:hint="eastAsia"/>
          <w:color w:val="000000"/>
          <w:kern w:val="0"/>
          <w:szCs w:val="24"/>
          <w:shd w:val="clear" w:color="auto" w:fill="FFFFFF"/>
        </w:rPr>
        <w:t>指數</w:t>
      </w:r>
      <w:r>
        <w:rPr>
          <w:rFonts w:ascii="Arial" w:eastAsia="新細明體" w:hAnsi="Arial" w:cs="Arial" w:hint="eastAsia"/>
          <w:color w:val="000000"/>
          <w:kern w:val="0"/>
          <w:szCs w:val="24"/>
          <w:shd w:val="clear" w:color="auto" w:fill="FFFFFF"/>
        </w:rPr>
        <w:t>(DJSI)2012</w:t>
      </w:r>
      <w:r>
        <w:rPr>
          <w:rFonts w:ascii="Arial" w:eastAsia="新細明體" w:hAnsi="Arial" w:cs="Arial" w:hint="eastAsia"/>
          <w:color w:val="000000"/>
          <w:kern w:val="0"/>
          <w:szCs w:val="24"/>
          <w:shd w:val="clear" w:color="auto" w:fill="FFFFFF"/>
        </w:rPr>
        <w:t>年度評選結果由永續資產管理公司</w:t>
      </w:r>
      <w:r>
        <w:rPr>
          <w:rFonts w:ascii="Arial" w:eastAsia="新細明體" w:hAnsi="Arial" w:cs="Arial" w:hint="eastAsia"/>
          <w:color w:val="000000"/>
          <w:kern w:val="0"/>
          <w:szCs w:val="24"/>
          <w:shd w:val="clear" w:color="auto" w:fill="FFFFFF"/>
        </w:rPr>
        <w:t>(SAM)</w:t>
      </w:r>
      <w:r>
        <w:rPr>
          <w:rFonts w:ascii="Arial" w:eastAsia="新細明體" w:hAnsi="Arial" w:cs="Arial" w:hint="eastAsia"/>
          <w:color w:val="000000"/>
          <w:kern w:val="0"/>
          <w:szCs w:val="24"/>
          <w:shd w:val="clear" w:color="auto" w:fill="FFFFFF"/>
        </w:rPr>
        <w:t>於</w:t>
      </w:r>
      <w:r>
        <w:rPr>
          <w:rFonts w:ascii="Arial" w:eastAsia="新細明體" w:hAnsi="Arial" w:cs="Arial" w:hint="eastAsia"/>
          <w:color w:val="000000"/>
          <w:kern w:val="0"/>
          <w:szCs w:val="24"/>
          <w:shd w:val="clear" w:color="auto" w:fill="FFFFFF"/>
        </w:rPr>
        <w:t>9</w:t>
      </w:r>
      <w:r>
        <w:rPr>
          <w:rFonts w:ascii="Arial" w:eastAsia="新細明體" w:hAnsi="Arial" w:cs="Arial" w:hint="eastAsia"/>
          <w:color w:val="000000"/>
          <w:kern w:val="0"/>
          <w:szCs w:val="24"/>
          <w:shd w:val="clear" w:color="auto" w:fill="FFFFFF"/>
        </w:rPr>
        <w:t>月</w:t>
      </w:r>
      <w:r>
        <w:rPr>
          <w:rFonts w:ascii="Arial" w:eastAsia="新細明體" w:hAnsi="Arial" w:cs="Arial" w:hint="eastAsia"/>
          <w:color w:val="000000"/>
          <w:kern w:val="0"/>
          <w:szCs w:val="24"/>
          <w:shd w:val="clear" w:color="auto" w:fill="FFFFFF"/>
        </w:rPr>
        <w:t>13</w:t>
      </w:r>
      <w:r>
        <w:rPr>
          <w:rFonts w:ascii="Arial" w:eastAsia="新細明體" w:hAnsi="Arial" w:cs="Arial" w:hint="eastAsia"/>
          <w:color w:val="000000"/>
          <w:kern w:val="0"/>
          <w:szCs w:val="24"/>
          <w:shd w:val="clear" w:color="auto" w:fill="FFFFFF"/>
        </w:rPr>
        <w:t>日公布，根據</w:t>
      </w:r>
      <w:r>
        <w:rPr>
          <w:rFonts w:ascii="Arial" w:eastAsia="新細明體" w:hAnsi="Arial" w:cs="Arial" w:hint="eastAsia"/>
          <w:color w:val="000000"/>
          <w:kern w:val="0"/>
          <w:szCs w:val="24"/>
          <w:shd w:val="clear" w:color="auto" w:fill="FFFFFF"/>
        </w:rPr>
        <w:t>SAM</w:t>
      </w:r>
      <w:r>
        <w:rPr>
          <w:rFonts w:ascii="Arial" w:eastAsia="新細明體" w:hAnsi="Arial" w:cs="Arial" w:hint="eastAsia"/>
          <w:color w:val="000000"/>
          <w:kern w:val="0"/>
          <w:szCs w:val="24"/>
          <w:shd w:val="clear" w:color="auto" w:fill="FFFFFF"/>
        </w:rPr>
        <w:t>的企業永續性評估系統所篩選出來的</w:t>
      </w:r>
      <w:proofErr w:type="gramStart"/>
      <w:r>
        <w:rPr>
          <w:rFonts w:ascii="Arial" w:eastAsia="新細明體" w:hAnsi="Arial" w:cs="Arial" w:hint="eastAsia"/>
          <w:color w:val="000000"/>
          <w:kern w:val="0"/>
          <w:szCs w:val="24"/>
          <w:shd w:val="clear" w:color="auto" w:fill="FFFFFF"/>
        </w:rPr>
        <w:t>最佳永</w:t>
      </w:r>
      <w:proofErr w:type="gramEnd"/>
      <w:r>
        <w:rPr>
          <w:rFonts w:ascii="Arial" w:eastAsia="新細明體" w:hAnsi="Arial" w:cs="Arial" w:hint="eastAsia"/>
          <w:color w:val="000000"/>
          <w:kern w:val="0"/>
          <w:szCs w:val="24"/>
          <w:shd w:val="clear" w:color="auto" w:fill="FFFFFF"/>
        </w:rPr>
        <w:t>續表現公司，今年新入選的超大型公司包括微軟、加拿大國家鐵路公司與</w:t>
      </w:r>
      <w:r>
        <w:rPr>
          <w:rFonts w:ascii="Arial" w:eastAsia="新細明體" w:hAnsi="Arial" w:cs="Arial" w:hint="eastAsia"/>
          <w:color w:val="000000"/>
          <w:kern w:val="0"/>
          <w:szCs w:val="24"/>
          <w:shd w:val="clear" w:color="auto" w:fill="FFFFFF"/>
        </w:rPr>
        <w:t>Target Corp</w:t>
      </w:r>
      <w:r>
        <w:rPr>
          <w:rFonts w:ascii="Arial" w:eastAsia="新細明體" w:hAnsi="Arial" w:cs="Arial" w:hint="eastAsia"/>
          <w:color w:val="000000"/>
          <w:kern w:val="0"/>
          <w:szCs w:val="24"/>
          <w:shd w:val="clear" w:color="auto" w:fill="FFFFFF"/>
        </w:rPr>
        <w:t>，同時被剔除的超大型公司則有國際商業機器</w:t>
      </w:r>
      <w:r>
        <w:rPr>
          <w:rFonts w:ascii="Arial" w:eastAsia="新細明體" w:hAnsi="Arial" w:cs="Arial" w:hint="eastAsia"/>
          <w:color w:val="000000"/>
          <w:kern w:val="0"/>
          <w:szCs w:val="24"/>
          <w:shd w:val="clear" w:color="auto" w:fill="FFFFFF"/>
        </w:rPr>
        <w:t>(IBM)</w:t>
      </w:r>
      <w:r>
        <w:rPr>
          <w:rFonts w:ascii="Arial" w:eastAsia="新細明體" w:hAnsi="Arial" w:cs="Arial" w:hint="eastAsia"/>
          <w:color w:val="000000"/>
          <w:kern w:val="0"/>
          <w:szCs w:val="24"/>
          <w:shd w:val="clear" w:color="auto" w:fill="FFFFFF"/>
        </w:rPr>
        <w:t>、葛蘭素史密斯藥廠與聯合科技。</w:t>
      </w:r>
    </w:p>
    <w:p w:rsidR="00D74EA9" w:rsidRPr="004376E3" w:rsidRDefault="00D74EA9" w:rsidP="00D74EA9">
      <w:pPr>
        <w:widowControl/>
        <w:shd w:val="clear" w:color="auto" w:fill="FFFFFF"/>
        <w:snapToGrid w:val="0"/>
        <w:spacing w:beforeLines="50" w:before="180" w:line="300" w:lineRule="auto"/>
        <w:rPr>
          <w:rFonts w:ascii="Arial" w:eastAsia="Times New Roman" w:hAnsi="Arial" w:cs="Arial"/>
          <w:color w:val="000000"/>
          <w:kern w:val="0"/>
          <w:szCs w:val="24"/>
        </w:rPr>
      </w:pPr>
      <w:r>
        <w:rPr>
          <w:rFonts w:asciiTheme="minorEastAsia" w:hAnsiTheme="minorEastAsia" w:cs="Arial" w:hint="eastAsia"/>
          <w:color w:val="000000"/>
          <w:kern w:val="0"/>
          <w:szCs w:val="24"/>
        </w:rPr>
        <w:t>道瓊全球永續指數2012/2013年所入選的成分股共有340家公司，其中新增了41家，也同時剔除了41家企業，以下為</w:t>
      </w:r>
      <w:proofErr w:type="gramStart"/>
      <w:r>
        <w:rPr>
          <w:rFonts w:asciiTheme="minorEastAsia" w:hAnsiTheme="minorEastAsia" w:cs="Arial" w:hint="eastAsia"/>
          <w:color w:val="000000"/>
          <w:kern w:val="0"/>
          <w:szCs w:val="24"/>
        </w:rPr>
        <w:t>道瓊永續</w:t>
      </w:r>
      <w:proofErr w:type="gramEnd"/>
      <w:r>
        <w:rPr>
          <w:rFonts w:asciiTheme="minorEastAsia" w:hAnsiTheme="minorEastAsia" w:cs="Arial" w:hint="eastAsia"/>
          <w:color w:val="000000"/>
          <w:kern w:val="0"/>
          <w:szCs w:val="24"/>
        </w:rPr>
        <w:t>指數系列下，各指數在2012/2013成分股的變動家數概況：</w:t>
      </w:r>
    </w:p>
    <w:tbl>
      <w:tblPr>
        <w:tblW w:w="0" w:type="auto"/>
        <w:jc w:val="center"/>
        <w:tblInd w:w="-804" w:type="dxa"/>
        <w:tblCellMar>
          <w:left w:w="0" w:type="dxa"/>
          <w:right w:w="0" w:type="dxa"/>
        </w:tblCellMar>
        <w:tblLook w:val="04A0" w:firstRow="1" w:lastRow="0" w:firstColumn="1" w:lastColumn="0" w:noHBand="0" w:noVBand="1"/>
      </w:tblPr>
      <w:tblGrid>
        <w:gridCol w:w="2952"/>
        <w:gridCol w:w="987"/>
        <w:gridCol w:w="966"/>
        <w:gridCol w:w="2152"/>
      </w:tblGrid>
      <w:tr w:rsidR="00D74EA9" w:rsidRPr="004376E3" w:rsidTr="002354AC">
        <w:trPr>
          <w:jc w:val="center"/>
        </w:trPr>
        <w:tc>
          <w:tcPr>
            <w:tcW w:w="2952" w:type="dxa"/>
            <w:tcBorders>
              <w:top w:val="single" w:sz="12" w:space="0" w:color="808080"/>
              <w:left w:val="single" w:sz="12" w:space="0" w:color="808080"/>
              <w:bottom w:val="single" w:sz="8" w:space="0" w:color="808080"/>
              <w:right w:val="single" w:sz="8" w:space="0" w:color="808080"/>
            </w:tcBorders>
            <w:shd w:val="clear" w:color="auto" w:fill="auto"/>
            <w:noWrap/>
            <w:tcMar>
              <w:top w:w="0" w:type="dxa"/>
              <w:left w:w="108" w:type="dxa"/>
              <w:bottom w:w="0" w:type="dxa"/>
              <w:right w:w="120" w:type="dxa"/>
            </w:tcMar>
            <w:vAlign w:val="bottom"/>
            <w:hideMark/>
          </w:tcPr>
          <w:p w:rsidR="00D74EA9" w:rsidRPr="004376E3" w:rsidRDefault="00D74EA9" w:rsidP="00D74EA9">
            <w:pPr>
              <w:widowControl/>
              <w:snapToGrid w:val="0"/>
              <w:spacing w:beforeLines="50" w:before="180" w:line="300" w:lineRule="auto"/>
              <w:jc w:val="center"/>
              <w:rPr>
                <w:rFonts w:ascii="Arial" w:eastAsia="Times New Roman" w:hAnsi="Arial" w:cs="Arial"/>
                <w:color w:val="000000"/>
                <w:kern w:val="0"/>
                <w:szCs w:val="24"/>
              </w:rPr>
            </w:pPr>
            <w:r w:rsidRPr="004376E3">
              <w:rPr>
                <w:rFonts w:ascii="Arial" w:eastAsia="Times New Roman" w:hAnsi="Arial" w:cs="Arial"/>
                <w:b/>
                <w:bCs/>
                <w:color w:val="000000"/>
                <w:kern w:val="0"/>
                <w:szCs w:val="24"/>
              </w:rPr>
              <w:t>Index Name</w:t>
            </w:r>
          </w:p>
        </w:tc>
        <w:tc>
          <w:tcPr>
            <w:tcW w:w="987" w:type="dxa"/>
            <w:tcBorders>
              <w:top w:val="single" w:sz="12" w:space="0" w:color="808080"/>
              <w:left w:val="nil"/>
              <w:bottom w:val="single" w:sz="8" w:space="0" w:color="808080"/>
              <w:right w:val="single" w:sz="8" w:space="0" w:color="808080"/>
            </w:tcBorders>
            <w:shd w:val="clear" w:color="auto" w:fill="auto"/>
            <w:noWrap/>
            <w:tcMar>
              <w:top w:w="0" w:type="dxa"/>
              <w:left w:w="108" w:type="dxa"/>
              <w:bottom w:w="0" w:type="dxa"/>
              <w:right w:w="120" w:type="dxa"/>
            </w:tcMar>
            <w:vAlign w:val="bottom"/>
            <w:hideMark/>
          </w:tcPr>
          <w:p w:rsidR="00D74EA9" w:rsidRPr="004376E3" w:rsidRDefault="00D74EA9" w:rsidP="00D74EA9">
            <w:pPr>
              <w:widowControl/>
              <w:snapToGrid w:val="0"/>
              <w:spacing w:beforeLines="50" w:before="180" w:line="300" w:lineRule="auto"/>
              <w:jc w:val="center"/>
              <w:rPr>
                <w:rFonts w:ascii="Arial" w:eastAsia="Times New Roman" w:hAnsi="Arial" w:cs="Arial"/>
                <w:color w:val="000000"/>
                <w:kern w:val="0"/>
                <w:szCs w:val="24"/>
              </w:rPr>
            </w:pPr>
            <w:r>
              <w:rPr>
                <w:rFonts w:asciiTheme="minorEastAsia" w:hAnsiTheme="minorEastAsia" w:cs="Arial" w:hint="eastAsia"/>
                <w:b/>
                <w:bCs/>
                <w:color w:val="000000"/>
                <w:kern w:val="0"/>
                <w:szCs w:val="24"/>
              </w:rPr>
              <w:t>新增</w:t>
            </w:r>
          </w:p>
        </w:tc>
        <w:tc>
          <w:tcPr>
            <w:tcW w:w="966" w:type="dxa"/>
            <w:tcBorders>
              <w:top w:val="single" w:sz="12" w:space="0" w:color="808080"/>
              <w:left w:val="nil"/>
              <w:bottom w:val="single" w:sz="8" w:space="0" w:color="808080"/>
              <w:right w:val="single" w:sz="8" w:space="0" w:color="808080"/>
            </w:tcBorders>
            <w:shd w:val="clear" w:color="auto" w:fill="auto"/>
            <w:noWrap/>
            <w:tcMar>
              <w:top w:w="0" w:type="dxa"/>
              <w:left w:w="108" w:type="dxa"/>
              <w:bottom w:w="0" w:type="dxa"/>
              <w:right w:w="120" w:type="dxa"/>
            </w:tcMar>
            <w:vAlign w:val="bottom"/>
            <w:hideMark/>
          </w:tcPr>
          <w:p w:rsidR="00D74EA9" w:rsidRPr="004376E3" w:rsidRDefault="00D74EA9" w:rsidP="00D74EA9">
            <w:pPr>
              <w:widowControl/>
              <w:snapToGrid w:val="0"/>
              <w:spacing w:beforeLines="50" w:before="180" w:line="300" w:lineRule="auto"/>
              <w:jc w:val="center"/>
              <w:rPr>
                <w:rFonts w:ascii="Arial" w:eastAsia="Times New Roman" w:hAnsi="Arial" w:cs="Arial"/>
                <w:color w:val="000000"/>
                <w:kern w:val="0"/>
                <w:szCs w:val="24"/>
              </w:rPr>
            </w:pPr>
            <w:r>
              <w:rPr>
                <w:rFonts w:asciiTheme="minorEastAsia" w:hAnsiTheme="minorEastAsia" w:cs="Arial" w:hint="eastAsia"/>
                <w:b/>
                <w:bCs/>
                <w:color w:val="000000"/>
                <w:kern w:val="0"/>
                <w:szCs w:val="24"/>
              </w:rPr>
              <w:t>剔除</w:t>
            </w:r>
          </w:p>
        </w:tc>
        <w:tc>
          <w:tcPr>
            <w:tcW w:w="2152" w:type="dxa"/>
            <w:tcBorders>
              <w:top w:val="single" w:sz="12" w:space="0" w:color="808080"/>
              <w:left w:val="nil"/>
              <w:bottom w:val="single" w:sz="8" w:space="0" w:color="808080"/>
              <w:right w:val="single" w:sz="12" w:space="0" w:color="808080"/>
            </w:tcBorders>
            <w:shd w:val="clear" w:color="auto" w:fill="auto"/>
            <w:noWrap/>
            <w:tcMar>
              <w:top w:w="0" w:type="dxa"/>
              <w:left w:w="108" w:type="dxa"/>
              <w:bottom w:w="0" w:type="dxa"/>
              <w:right w:w="120" w:type="dxa"/>
            </w:tcMar>
            <w:vAlign w:val="bottom"/>
            <w:hideMark/>
          </w:tcPr>
          <w:p w:rsidR="00D74EA9" w:rsidRPr="004376E3" w:rsidRDefault="00D74EA9" w:rsidP="00D74EA9">
            <w:pPr>
              <w:widowControl/>
              <w:snapToGrid w:val="0"/>
              <w:spacing w:beforeLines="50" w:before="180" w:line="300" w:lineRule="auto"/>
              <w:jc w:val="center"/>
              <w:rPr>
                <w:rFonts w:ascii="Arial" w:eastAsia="Times New Roman" w:hAnsi="Arial" w:cs="Arial"/>
                <w:color w:val="000000"/>
                <w:kern w:val="0"/>
                <w:szCs w:val="24"/>
              </w:rPr>
            </w:pPr>
            <w:r>
              <w:rPr>
                <w:rFonts w:asciiTheme="minorEastAsia" w:hAnsiTheme="minorEastAsia" w:cs="Arial" w:hint="eastAsia"/>
                <w:b/>
                <w:bCs/>
                <w:color w:val="000000"/>
                <w:kern w:val="0"/>
                <w:szCs w:val="24"/>
              </w:rPr>
              <w:t>成分股總數</w:t>
            </w:r>
          </w:p>
        </w:tc>
      </w:tr>
      <w:tr w:rsidR="00D74EA9" w:rsidRPr="004376E3" w:rsidTr="002354AC">
        <w:trPr>
          <w:jc w:val="center"/>
        </w:trPr>
        <w:tc>
          <w:tcPr>
            <w:tcW w:w="2952" w:type="dxa"/>
            <w:tcBorders>
              <w:top w:val="nil"/>
              <w:left w:val="single" w:sz="12" w:space="0" w:color="808080"/>
              <w:bottom w:val="single" w:sz="8" w:space="0" w:color="808080"/>
              <w:right w:val="single" w:sz="8" w:space="0" w:color="808080"/>
            </w:tcBorders>
            <w:shd w:val="clear" w:color="auto" w:fill="auto"/>
            <w:noWrap/>
            <w:tcMar>
              <w:top w:w="0" w:type="dxa"/>
              <w:left w:w="108" w:type="dxa"/>
              <w:bottom w:w="0" w:type="dxa"/>
              <w:right w:w="120" w:type="dxa"/>
            </w:tcMar>
            <w:vAlign w:val="bottom"/>
            <w:hideMark/>
          </w:tcPr>
          <w:p w:rsidR="00D74EA9" w:rsidRPr="004376E3" w:rsidRDefault="00D74EA9" w:rsidP="00D74EA9">
            <w:pPr>
              <w:widowControl/>
              <w:snapToGrid w:val="0"/>
              <w:spacing w:beforeLines="50" w:before="180" w:line="300" w:lineRule="auto"/>
              <w:rPr>
                <w:rFonts w:ascii="Arial" w:eastAsia="Times New Roman" w:hAnsi="Arial" w:cs="Arial"/>
                <w:color w:val="000000"/>
                <w:kern w:val="0"/>
                <w:szCs w:val="24"/>
              </w:rPr>
            </w:pPr>
            <w:proofErr w:type="gramStart"/>
            <w:r>
              <w:rPr>
                <w:rFonts w:asciiTheme="minorEastAsia" w:hAnsiTheme="minorEastAsia" w:cs="Arial" w:hint="eastAsia"/>
                <w:color w:val="000000"/>
                <w:kern w:val="0"/>
                <w:szCs w:val="24"/>
              </w:rPr>
              <w:t>道瓊永續</w:t>
            </w:r>
            <w:proofErr w:type="gramEnd"/>
            <w:r>
              <w:rPr>
                <w:rFonts w:asciiTheme="minorEastAsia" w:hAnsiTheme="minorEastAsia" w:cs="Arial" w:hint="eastAsia"/>
                <w:color w:val="000000"/>
                <w:kern w:val="0"/>
                <w:szCs w:val="24"/>
              </w:rPr>
              <w:t>歐洲指數</w:t>
            </w:r>
          </w:p>
        </w:tc>
        <w:tc>
          <w:tcPr>
            <w:tcW w:w="987" w:type="dxa"/>
            <w:tcBorders>
              <w:top w:val="nil"/>
              <w:left w:val="nil"/>
              <w:bottom w:val="single" w:sz="8" w:space="0" w:color="808080"/>
              <w:right w:val="single" w:sz="8" w:space="0" w:color="808080"/>
            </w:tcBorders>
            <w:shd w:val="clear" w:color="auto" w:fill="auto"/>
            <w:noWrap/>
            <w:tcMar>
              <w:top w:w="0" w:type="dxa"/>
              <w:left w:w="108" w:type="dxa"/>
              <w:bottom w:w="0" w:type="dxa"/>
              <w:right w:w="120" w:type="dxa"/>
            </w:tcMar>
            <w:vAlign w:val="bottom"/>
            <w:hideMark/>
          </w:tcPr>
          <w:p w:rsidR="00D74EA9" w:rsidRPr="004376E3" w:rsidRDefault="00D74EA9" w:rsidP="00D74EA9">
            <w:pPr>
              <w:widowControl/>
              <w:snapToGrid w:val="0"/>
              <w:spacing w:beforeLines="50" w:before="180" w:line="300" w:lineRule="auto"/>
              <w:jc w:val="right"/>
              <w:rPr>
                <w:rFonts w:ascii="Arial" w:eastAsia="Times New Roman" w:hAnsi="Arial" w:cs="Arial"/>
                <w:color w:val="000000"/>
                <w:kern w:val="0"/>
                <w:szCs w:val="24"/>
              </w:rPr>
            </w:pPr>
            <w:r w:rsidRPr="004376E3">
              <w:rPr>
                <w:rFonts w:ascii="Arial" w:eastAsia="Times New Roman" w:hAnsi="Arial" w:cs="Arial"/>
                <w:color w:val="000000"/>
                <w:kern w:val="0"/>
                <w:szCs w:val="24"/>
              </w:rPr>
              <w:t>17</w:t>
            </w:r>
          </w:p>
        </w:tc>
        <w:tc>
          <w:tcPr>
            <w:tcW w:w="966" w:type="dxa"/>
            <w:tcBorders>
              <w:top w:val="nil"/>
              <w:left w:val="nil"/>
              <w:bottom w:val="single" w:sz="8" w:space="0" w:color="808080"/>
              <w:right w:val="single" w:sz="8" w:space="0" w:color="808080"/>
            </w:tcBorders>
            <w:shd w:val="clear" w:color="auto" w:fill="auto"/>
            <w:noWrap/>
            <w:tcMar>
              <w:top w:w="0" w:type="dxa"/>
              <w:left w:w="108" w:type="dxa"/>
              <w:bottom w:w="0" w:type="dxa"/>
              <w:right w:w="120" w:type="dxa"/>
            </w:tcMar>
            <w:vAlign w:val="bottom"/>
            <w:hideMark/>
          </w:tcPr>
          <w:p w:rsidR="00D74EA9" w:rsidRPr="004376E3" w:rsidRDefault="00D74EA9" w:rsidP="00D74EA9">
            <w:pPr>
              <w:widowControl/>
              <w:snapToGrid w:val="0"/>
              <w:spacing w:beforeLines="50" w:before="180" w:line="300" w:lineRule="auto"/>
              <w:jc w:val="right"/>
              <w:rPr>
                <w:rFonts w:ascii="Arial" w:eastAsia="Times New Roman" w:hAnsi="Arial" w:cs="Arial"/>
                <w:color w:val="000000"/>
                <w:kern w:val="0"/>
                <w:szCs w:val="24"/>
              </w:rPr>
            </w:pPr>
            <w:r w:rsidRPr="004376E3">
              <w:rPr>
                <w:rFonts w:ascii="Arial" w:eastAsia="Times New Roman" w:hAnsi="Arial" w:cs="Arial"/>
                <w:color w:val="000000"/>
                <w:kern w:val="0"/>
                <w:szCs w:val="24"/>
              </w:rPr>
              <w:t>23</w:t>
            </w:r>
          </w:p>
        </w:tc>
        <w:tc>
          <w:tcPr>
            <w:tcW w:w="2152" w:type="dxa"/>
            <w:tcBorders>
              <w:top w:val="nil"/>
              <w:left w:val="nil"/>
              <w:bottom w:val="single" w:sz="8" w:space="0" w:color="808080"/>
              <w:right w:val="single" w:sz="12" w:space="0" w:color="808080"/>
            </w:tcBorders>
            <w:shd w:val="clear" w:color="auto" w:fill="auto"/>
            <w:noWrap/>
            <w:tcMar>
              <w:top w:w="0" w:type="dxa"/>
              <w:left w:w="108" w:type="dxa"/>
              <w:bottom w:w="0" w:type="dxa"/>
              <w:right w:w="120" w:type="dxa"/>
            </w:tcMar>
            <w:vAlign w:val="bottom"/>
            <w:hideMark/>
          </w:tcPr>
          <w:p w:rsidR="00D74EA9" w:rsidRPr="004376E3" w:rsidRDefault="00D74EA9" w:rsidP="00D74EA9">
            <w:pPr>
              <w:widowControl/>
              <w:snapToGrid w:val="0"/>
              <w:spacing w:beforeLines="50" w:before="180" w:line="300" w:lineRule="auto"/>
              <w:jc w:val="right"/>
              <w:rPr>
                <w:rFonts w:ascii="Arial" w:eastAsia="Times New Roman" w:hAnsi="Arial" w:cs="Arial"/>
                <w:color w:val="000000"/>
                <w:kern w:val="0"/>
                <w:szCs w:val="24"/>
              </w:rPr>
            </w:pPr>
            <w:r w:rsidRPr="004376E3">
              <w:rPr>
                <w:rFonts w:ascii="Arial" w:eastAsia="Times New Roman" w:hAnsi="Arial" w:cs="Arial"/>
                <w:color w:val="000000"/>
                <w:kern w:val="0"/>
                <w:szCs w:val="24"/>
              </w:rPr>
              <w:t>166</w:t>
            </w:r>
          </w:p>
        </w:tc>
      </w:tr>
      <w:tr w:rsidR="00D74EA9" w:rsidRPr="004376E3" w:rsidTr="002354AC">
        <w:trPr>
          <w:jc w:val="center"/>
        </w:trPr>
        <w:tc>
          <w:tcPr>
            <w:tcW w:w="2952" w:type="dxa"/>
            <w:tcBorders>
              <w:top w:val="nil"/>
              <w:left w:val="single" w:sz="12" w:space="0" w:color="808080"/>
              <w:bottom w:val="single" w:sz="8" w:space="0" w:color="808080"/>
              <w:right w:val="single" w:sz="8" w:space="0" w:color="808080"/>
            </w:tcBorders>
            <w:shd w:val="clear" w:color="auto" w:fill="auto"/>
            <w:noWrap/>
            <w:tcMar>
              <w:top w:w="0" w:type="dxa"/>
              <w:left w:w="108" w:type="dxa"/>
              <w:bottom w:w="0" w:type="dxa"/>
              <w:right w:w="120" w:type="dxa"/>
            </w:tcMar>
            <w:vAlign w:val="bottom"/>
            <w:hideMark/>
          </w:tcPr>
          <w:p w:rsidR="00D74EA9" w:rsidRPr="004376E3" w:rsidRDefault="00D74EA9" w:rsidP="00D74EA9">
            <w:pPr>
              <w:widowControl/>
              <w:snapToGrid w:val="0"/>
              <w:spacing w:beforeLines="50" w:before="180" w:line="300" w:lineRule="auto"/>
              <w:rPr>
                <w:rFonts w:ascii="Arial" w:eastAsia="Times New Roman" w:hAnsi="Arial" w:cs="Arial"/>
                <w:color w:val="000000"/>
                <w:kern w:val="0"/>
                <w:szCs w:val="24"/>
              </w:rPr>
            </w:pPr>
            <w:proofErr w:type="gramStart"/>
            <w:r>
              <w:rPr>
                <w:rFonts w:asciiTheme="minorEastAsia" w:hAnsiTheme="minorEastAsia" w:cs="Arial" w:hint="eastAsia"/>
                <w:color w:val="000000"/>
                <w:kern w:val="0"/>
                <w:szCs w:val="24"/>
              </w:rPr>
              <w:t>道瓊永續</w:t>
            </w:r>
            <w:proofErr w:type="gramEnd"/>
            <w:r>
              <w:rPr>
                <w:rFonts w:asciiTheme="minorEastAsia" w:hAnsiTheme="minorEastAsia" w:cs="Arial" w:hint="eastAsia"/>
                <w:color w:val="000000"/>
                <w:kern w:val="0"/>
                <w:szCs w:val="24"/>
              </w:rPr>
              <w:t>北美指數</w:t>
            </w:r>
          </w:p>
        </w:tc>
        <w:tc>
          <w:tcPr>
            <w:tcW w:w="987" w:type="dxa"/>
            <w:tcBorders>
              <w:top w:val="nil"/>
              <w:left w:val="nil"/>
              <w:bottom w:val="single" w:sz="8" w:space="0" w:color="808080"/>
              <w:right w:val="single" w:sz="8" w:space="0" w:color="808080"/>
            </w:tcBorders>
            <w:shd w:val="clear" w:color="auto" w:fill="auto"/>
            <w:noWrap/>
            <w:tcMar>
              <w:top w:w="0" w:type="dxa"/>
              <w:left w:w="108" w:type="dxa"/>
              <w:bottom w:w="0" w:type="dxa"/>
              <w:right w:w="120" w:type="dxa"/>
            </w:tcMar>
            <w:vAlign w:val="bottom"/>
            <w:hideMark/>
          </w:tcPr>
          <w:p w:rsidR="00D74EA9" w:rsidRPr="004376E3" w:rsidRDefault="00D74EA9" w:rsidP="00D74EA9">
            <w:pPr>
              <w:widowControl/>
              <w:snapToGrid w:val="0"/>
              <w:spacing w:beforeLines="50" w:before="180" w:line="300" w:lineRule="auto"/>
              <w:jc w:val="right"/>
              <w:rPr>
                <w:rFonts w:ascii="Arial" w:eastAsia="Times New Roman" w:hAnsi="Arial" w:cs="Arial"/>
                <w:color w:val="000000"/>
                <w:kern w:val="0"/>
                <w:szCs w:val="24"/>
              </w:rPr>
            </w:pPr>
            <w:r w:rsidRPr="004376E3">
              <w:rPr>
                <w:rFonts w:ascii="Arial" w:eastAsia="Times New Roman" w:hAnsi="Arial" w:cs="Arial"/>
                <w:color w:val="000000"/>
                <w:kern w:val="0"/>
                <w:szCs w:val="24"/>
              </w:rPr>
              <w:t>17</w:t>
            </w:r>
          </w:p>
        </w:tc>
        <w:tc>
          <w:tcPr>
            <w:tcW w:w="966" w:type="dxa"/>
            <w:tcBorders>
              <w:top w:val="nil"/>
              <w:left w:val="nil"/>
              <w:bottom w:val="single" w:sz="8" w:space="0" w:color="808080"/>
              <w:right w:val="single" w:sz="8" w:space="0" w:color="808080"/>
            </w:tcBorders>
            <w:shd w:val="clear" w:color="auto" w:fill="auto"/>
            <w:noWrap/>
            <w:tcMar>
              <w:top w:w="0" w:type="dxa"/>
              <w:left w:w="108" w:type="dxa"/>
              <w:bottom w:w="0" w:type="dxa"/>
              <w:right w:w="120" w:type="dxa"/>
            </w:tcMar>
            <w:vAlign w:val="bottom"/>
            <w:hideMark/>
          </w:tcPr>
          <w:p w:rsidR="00D74EA9" w:rsidRPr="004376E3" w:rsidRDefault="00D74EA9" w:rsidP="00D74EA9">
            <w:pPr>
              <w:widowControl/>
              <w:snapToGrid w:val="0"/>
              <w:spacing w:beforeLines="50" w:before="180" w:line="300" w:lineRule="auto"/>
              <w:jc w:val="right"/>
              <w:rPr>
                <w:rFonts w:ascii="Arial" w:eastAsia="Times New Roman" w:hAnsi="Arial" w:cs="Arial"/>
                <w:color w:val="000000"/>
                <w:kern w:val="0"/>
                <w:szCs w:val="24"/>
              </w:rPr>
            </w:pPr>
            <w:r w:rsidRPr="004376E3">
              <w:rPr>
                <w:rFonts w:ascii="Arial" w:eastAsia="Times New Roman" w:hAnsi="Arial" w:cs="Arial"/>
                <w:color w:val="000000"/>
                <w:kern w:val="0"/>
                <w:szCs w:val="24"/>
              </w:rPr>
              <w:t>16</w:t>
            </w:r>
          </w:p>
        </w:tc>
        <w:tc>
          <w:tcPr>
            <w:tcW w:w="2152" w:type="dxa"/>
            <w:tcBorders>
              <w:top w:val="nil"/>
              <w:left w:val="nil"/>
              <w:bottom w:val="single" w:sz="8" w:space="0" w:color="808080"/>
              <w:right w:val="single" w:sz="12" w:space="0" w:color="808080"/>
            </w:tcBorders>
            <w:shd w:val="clear" w:color="auto" w:fill="auto"/>
            <w:noWrap/>
            <w:tcMar>
              <w:top w:w="0" w:type="dxa"/>
              <w:left w:w="108" w:type="dxa"/>
              <w:bottom w:w="0" w:type="dxa"/>
              <w:right w:w="120" w:type="dxa"/>
            </w:tcMar>
            <w:vAlign w:val="bottom"/>
            <w:hideMark/>
          </w:tcPr>
          <w:p w:rsidR="00D74EA9" w:rsidRPr="004376E3" w:rsidRDefault="00D74EA9" w:rsidP="00D74EA9">
            <w:pPr>
              <w:widowControl/>
              <w:snapToGrid w:val="0"/>
              <w:spacing w:beforeLines="50" w:before="180" w:line="300" w:lineRule="auto"/>
              <w:jc w:val="right"/>
              <w:rPr>
                <w:rFonts w:ascii="Arial" w:eastAsia="Times New Roman" w:hAnsi="Arial" w:cs="Arial"/>
                <w:color w:val="000000"/>
                <w:kern w:val="0"/>
                <w:szCs w:val="24"/>
              </w:rPr>
            </w:pPr>
            <w:r w:rsidRPr="004376E3">
              <w:rPr>
                <w:rFonts w:ascii="Arial" w:eastAsia="Times New Roman" w:hAnsi="Arial" w:cs="Arial"/>
                <w:color w:val="000000"/>
                <w:kern w:val="0"/>
                <w:szCs w:val="24"/>
              </w:rPr>
              <w:t>140</w:t>
            </w:r>
          </w:p>
        </w:tc>
      </w:tr>
      <w:tr w:rsidR="00D74EA9" w:rsidRPr="004376E3" w:rsidTr="002354AC">
        <w:trPr>
          <w:jc w:val="center"/>
        </w:trPr>
        <w:tc>
          <w:tcPr>
            <w:tcW w:w="2952" w:type="dxa"/>
            <w:tcBorders>
              <w:top w:val="nil"/>
              <w:left w:val="single" w:sz="12" w:space="0" w:color="808080"/>
              <w:bottom w:val="single" w:sz="8" w:space="0" w:color="808080"/>
              <w:right w:val="single" w:sz="8" w:space="0" w:color="808080"/>
            </w:tcBorders>
            <w:shd w:val="clear" w:color="auto" w:fill="auto"/>
            <w:noWrap/>
            <w:tcMar>
              <w:top w:w="0" w:type="dxa"/>
              <w:left w:w="108" w:type="dxa"/>
              <w:bottom w:w="0" w:type="dxa"/>
              <w:right w:w="120" w:type="dxa"/>
            </w:tcMar>
            <w:vAlign w:val="bottom"/>
            <w:hideMark/>
          </w:tcPr>
          <w:p w:rsidR="00D74EA9" w:rsidRPr="004376E3" w:rsidRDefault="00D74EA9" w:rsidP="00D74EA9">
            <w:pPr>
              <w:widowControl/>
              <w:snapToGrid w:val="0"/>
              <w:spacing w:beforeLines="50" w:before="180" w:line="300" w:lineRule="auto"/>
              <w:rPr>
                <w:rFonts w:ascii="Arial" w:eastAsia="Times New Roman" w:hAnsi="Arial" w:cs="Arial"/>
                <w:color w:val="000000"/>
                <w:kern w:val="0"/>
                <w:szCs w:val="24"/>
              </w:rPr>
            </w:pPr>
            <w:proofErr w:type="gramStart"/>
            <w:r>
              <w:rPr>
                <w:rFonts w:asciiTheme="minorEastAsia" w:hAnsiTheme="minorEastAsia" w:cs="Arial" w:hint="eastAsia"/>
                <w:color w:val="000000"/>
                <w:kern w:val="0"/>
                <w:szCs w:val="24"/>
              </w:rPr>
              <w:lastRenderedPageBreak/>
              <w:t>道瓊永續</w:t>
            </w:r>
            <w:proofErr w:type="gramEnd"/>
            <w:r>
              <w:rPr>
                <w:rFonts w:asciiTheme="minorEastAsia" w:hAnsiTheme="minorEastAsia" w:cs="Arial" w:hint="eastAsia"/>
                <w:color w:val="000000"/>
                <w:kern w:val="0"/>
                <w:szCs w:val="24"/>
              </w:rPr>
              <w:t>亞太指數</w:t>
            </w:r>
          </w:p>
        </w:tc>
        <w:tc>
          <w:tcPr>
            <w:tcW w:w="987" w:type="dxa"/>
            <w:tcBorders>
              <w:top w:val="nil"/>
              <w:left w:val="nil"/>
              <w:bottom w:val="single" w:sz="8" w:space="0" w:color="808080"/>
              <w:right w:val="single" w:sz="8" w:space="0" w:color="808080"/>
            </w:tcBorders>
            <w:shd w:val="clear" w:color="auto" w:fill="auto"/>
            <w:noWrap/>
            <w:tcMar>
              <w:top w:w="0" w:type="dxa"/>
              <w:left w:w="108" w:type="dxa"/>
              <w:bottom w:w="0" w:type="dxa"/>
              <w:right w:w="120" w:type="dxa"/>
            </w:tcMar>
            <w:vAlign w:val="bottom"/>
            <w:hideMark/>
          </w:tcPr>
          <w:p w:rsidR="00D74EA9" w:rsidRPr="004376E3" w:rsidRDefault="00D74EA9" w:rsidP="00D74EA9">
            <w:pPr>
              <w:widowControl/>
              <w:snapToGrid w:val="0"/>
              <w:spacing w:beforeLines="50" w:before="180" w:line="300" w:lineRule="auto"/>
              <w:jc w:val="right"/>
              <w:rPr>
                <w:rFonts w:ascii="Arial" w:eastAsia="Times New Roman" w:hAnsi="Arial" w:cs="Arial"/>
                <w:color w:val="000000"/>
                <w:kern w:val="0"/>
                <w:szCs w:val="24"/>
              </w:rPr>
            </w:pPr>
            <w:r w:rsidRPr="004376E3">
              <w:rPr>
                <w:rFonts w:ascii="Arial" w:eastAsia="Times New Roman" w:hAnsi="Arial" w:cs="Arial"/>
                <w:color w:val="000000"/>
                <w:kern w:val="0"/>
                <w:szCs w:val="24"/>
              </w:rPr>
              <w:t>14</w:t>
            </w:r>
          </w:p>
        </w:tc>
        <w:tc>
          <w:tcPr>
            <w:tcW w:w="966" w:type="dxa"/>
            <w:tcBorders>
              <w:top w:val="nil"/>
              <w:left w:val="nil"/>
              <w:bottom w:val="single" w:sz="8" w:space="0" w:color="808080"/>
              <w:right w:val="single" w:sz="8" w:space="0" w:color="808080"/>
            </w:tcBorders>
            <w:shd w:val="clear" w:color="auto" w:fill="auto"/>
            <w:noWrap/>
            <w:tcMar>
              <w:top w:w="0" w:type="dxa"/>
              <w:left w:w="108" w:type="dxa"/>
              <w:bottom w:w="0" w:type="dxa"/>
              <w:right w:w="120" w:type="dxa"/>
            </w:tcMar>
            <w:vAlign w:val="bottom"/>
            <w:hideMark/>
          </w:tcPr>
          <w:p w:rsidR="00D74EA9" w:rsidRPr="004376E3" w:rsidRDefault="00D74EA9" w:rsidP="00D74EA9">
            <w:pPr>
              <w:widowControl/>
              <w:snapToGrid w:val="0"/>
              <w:spacing w:beforeLines="50" w:before="180" w:line="300" w:lineRule="auto"/>
              <w:jc w:val="right"/>
              <w:rPr>
                <w:rFonts w:ascii="Arial" w:eastAsia="Times New Roman" w:hAnsi="Arial" w:cs="Arial"/>
                <w:color w:val="000000"/>
                <w:kern w:val="0"/>
                <w:szCs w:val="24"/>
              </w:rPr>
            </w:pPr>
            <w:r w:rsidRPr="004376E3">
              <w:rPr>
                <w:rFonts w:ascii="Arial" w:eastAsia="Times New Roman" w:hAnsi="Arial" w:cs="Arial"/>
                <w:color w:val="000000"/>
                <w:kern w:val="0"/>
                <w:szCs w:val="24"/>
              </w:rPr>
              <w:t>15</w:t>
            </w:r>
          </w:p>
        </w:tc>
        <w:tc>
          <w:tcPr>
            <w:tcW w:w="2152" w:type="dxa"/>
            <w:tcBorders>
              <w:top w:val="nil"/>
              <w:left w:val="nil"/>
              <w:bottom w:val="single" w:sz="8" w:space="0" w:color="808080"/>
              <w:right w:val="single" w:sz="12" w:space="0" w:color="808080"/>
            </w:tcBorders>
            <w:shd w:val="clear" w:color="auto" w:fill="auto"/>
            <w:noWrap/>
            <w:tcMar>
              <w:top w:w="0" w:type="dxa"/>
              <w:left w:w="108" w:type="dxa"/>
              <w:bottom w:w="0" w:type="dxa"/>
              <w:right w:w="120" w:type="dxa"/>
            </w:tcMar>
            <w:vAlign w:val="bottom"/>
            <w:hideMark/>
          </w:tcPr>
          <w:p w:rsidR="00D74EA9" w:rsidRPr="004376E3" w:rsidRDefault="00D74EA9" w:rsidP="00D74EA9">
            <w:pPr>
              <w:widowControl/>
              <w:snapToGrid w:val="0"/>
              <w:spacing w:beforeLines="50" w:before="180" w:line="300" w:lineRule="auto"/>
              <w:jc w:val="right"/>
              <w:rPr>
                <w:rFonts w:ascii="Arial" w:eastAsia="Times New Roman" w:hAnsi="Arial" w:cs="Arial"/>
                <w:color w:val="000000"/>
                <w:kern w:val="0"/>
                <w:szCs w:val="24"/>
              </w:rPr>
            </w:pPr>
            <w:r w:rsidRPr="004376E3">
              <w:rPr>
                <w:rFonts w:ascii="Arial" w:eastAsia="Times New Roman" w:hAnsi="Arial" w:cs="Arial"/>
                <w:color w:val="000000"/>
                <w:kern w:val="0"/>
                <w:szCs w:val="24"/>
              </w:rPr>
              <w:t>154</w:t>
            </w:r>
          </w:p>
        </w:tc>
      </w:tr>
      <w:tr w:rsidR="00D74EA9" w:rsidRPr="004376E3" w:rsidTr="002354AC">
        <w:trPr>
          <w:jc w:val="center"/>
        </w:trPr>
        <w:tc>
          <w:tcPr>
            <w:tcW w:w="2952" w:type="dxa"/>
            <w:tcBorders>
              <w:top w:val="nil"/>
              <w:left w:val="single" w:sz="12" w:space="0" w:color="808080"/>
              <w:bottom w:val="nil"/>
              <w:right w:val="single" w:sz="8" w:space="0" w:color="808080"/>
            </w:tcBorders>
            <w:shd w:val="clear" w:color="auto" w:fill="auto"/>
            <w:noWrap/>
            <w:tcMar>
              <w:top w:w="0" w:type="dxa"/>
              <w:left w:w="108" w:type="dxa"/>
              <w:bottom w:w="0" w:type="dxa"/>
              <w:right w:w="120" w:type="dxa"/>
            </w:tcMar>
            <w:vAlign w:val="bottom"/>
            <w:hideMark/>
          </w:tcPr>
          <w:p w:rsidR="00D74EA9" w:rsidRPr="004376E3" w:rsidRDefault="00D74EA9" w:rsidP="00D74EA9">
            <w:pPr>
              <w:widowControl/>
              <w:snapToGrid w:val="0"/>
              <w:spacing w:beforeLines="50" w:before="180" w:line="300" w:lineRule="auto"/>
              <w:rPr>
                <w:rFonts w:ascii="Arial" w:eastAsia="Times New Roman" w:hAnsi="Arial" w:cs="Arial"/>
                <w:color w:val="000000"/>
                <w:kern w:val="0"/>
                <w:szCs w:val="24"/>
              </w:rPr>
            </w:pPr>
            <w:proofErr w:type="gramStart"/>
            <w:r>
              <w:rPr>
                <w:rFonts w:asciiTheme="minorEastAsia" w:hAnsiTheme="minorEastAsia" w:cs="Arial" w:hint="eastAsia"/>
                <w:color w:val="000000"/>
                <w:kern w:val="0"/>
                <w:szCs w:val="24"/>
              </w:rPr>
              <w:t>道瓊永續</w:t>
            </w:r>
            <w:proofErr w:type="gramEnd"/>
            <w:r>
              <w:rPr>
                <w:rFonts w:asciiTheme="minorEastAsia" w:hAnsiTheme="minorEastAsia" w:cs="Arial" w:hint="eastAsia"/>
                <w:color w:val="000000"/>
                <w:kern w:val="0"/>
                <w:szCs w:val="24"/>
              </w:rPr>
              <w:t>韓國指數</w:t>
            </w:r>
          </w:p>
        </w:tc>
        <w:tc>
          <w:tcPr>
            <w:tcW w:w="987" w:type="dxa"/>
            <w:tcBorders>
              <w:top w:val="nil"/>
              <w:left w:val="nil"/>
              <w:bottom w:val="nil"/>
              <w:right w:val="single" w:sz="8" w:space="0" w:color="808080"/>
            </w:tcBorders>
            <w:shd w:val="clear" w:color="auto" w:fill="auto"/>
            <w:noWrap/>
            <w:tcMar>
              <w:top w:w="0" w:type="dxa"/>
              <w:left w:w="108" w:type="dxa"/>
              <w:bottom w:w="0" w:type="dxa"/>
              <w:right w:w="120" w:type="dxa"/>
            </w:tcMar>
            <w:vAlign w:val="bottom"/>
            <w:hideMark/>
          </w:tcPr>
          <w:p w:rsidR="00D74EA9" w:rsidRPr="004376E3" w:rsidRDefault="00D74EA9" w:rsidP="00D74EA9">
            <w:pPr>
              <w:widowControl/>
              <w:snapToGrid w:val="0"/>
              <w:spacing w:beforeLines="50" w:before="180" w:line="300" w:lineRule="auto"/>
              <w:jc w:val="right"/>
              <w:rPr>
                <w:rFonts w:ascii="Arial" w:eastAsia="Times New Roman" w:hAnsi="Arial" w:cs="Arial"/>
                <w:color w:val="000000"/>
                <w:kern w:val="0"/>
                <w:szCs w:val="24"/>
              </w:rPr>
            </w:pPr>
            <w:r w:rsidRPr="004376E3">
              <w:rPr>
                <w:rFonts w:ascii="Arial" w:eastAsia="Times New Roman" w:hAnsi="Arial" w:cs="Arial"/>
                <w:color w:val="000000"/>
                <w:kern w:val="0"/>
                <w:szCs w:val="24"/>
              </w:rPr>
              <w:t>3</w:t>
            </w:r>
          </w:p>
        </w:tc>
        <w:tc>
          <w:tcPr>
            <w:tcW w:w="966" w:type="dxa"/>
            <w:tcBorders>
              <w:top w:val="nil"/>
              <w:left w:val="nil"/>
              <w:bottom w:val="nil"/>
              <w:right w:val="single" w:sz="8" w:space="0" w:color="808080"/>
            </w:tcBorders>
            <w:shd w:val="clear" w:color="auto" w:fill="auto"/>
            <w:noWrap/>
            <w:tcMar>
              <w:top w:w="0" w:type="dxa"/>
              <w:left w:w="108" w:type="dxa"/>
              <w:bottom w:w="0" w:type="dxa"/>
              <w:right w:w="120" w:type="dxa"/>
            </w:tcMar>
            <w:vAlign w:val="bottom"/>
            <w:hideMark/>
          </w:tcPr>
          <w:p w:rsidR="00D74EA9" w:rsidRPr="004376E3" w:rsidRDefault="00D74EA9" w:rsidP="00D74EA9">
            <w:pPr>
              <w:widowControl/>
              <w:snapToGrid w:val="0"/>
              <w:spacing w:beforeLines="50" w:before="180" w:line="300" w:lineRule="auto"/>
              <w:jc w:val="right"/>
              <w:rPr>
                <w:rFonts w:ascii="Arial" w:eastAsia="Times New Roman" w:hAnsi="Arial" w:cs="Arial"/>
                <w:color w:val="000000"/>
                <w:kern w:val="0"/>
                <w:szCs w:val="24"/>
              </w:rPr>
            </w:pPr>
            <w:r w:rsidRPr="004376E3">
              <w:rPr>
                <w:rFonts w:ascii="Arial" w:eastAsia="Times New Roman" w:hAnsi="Arial" w:cs="Arial"/>
                <w:color w:val="000000"/>
                <w:kern w:val="0"/>
                <w:szCs w:val="24"/>
              </w:rPr>
              <w:t>3</w:t>
            </w:r>
          </w:p>
        </w:tc>
        <w:tc>
          <w:tcPr>
            <w:tcW w:w="2152" w:type="dxa"/>
            <w:tcBorders>
              <w:top w:val="nil"/>
              <w:left w:val="nil"/>
              <w:bottom w:val="nil"/>
              <w:right w:val="single" w:sz="12" w:space="0" w:color="808080"/>
            </w:tcBorders>
            <w:shd w:val="clear" w:color="auto" w:fill="auto"/>
            <w:noWrap/>
            <w:tcMar>
              <w:top w:w="0" w:type="dxa"/>
              <w:left w:w="108" w:type="dxa"/>
              <w:bottom w:w="0" w:type="dxa"/>
              <w:right w:w="120" w:type="dxa"/>
            </w:tcMar>
            <w:vAlign w:val="bottom"/>
            <w:hideMark/>
          </w:tcPr>
          <w:p w:rsidR="00D74EA9" w:rsidRPr="004376E3" w:rsidRDefault="00D74EA9" w:rsidP="00D74EA9">
            <w:pPr>
              <w:widowControl/>
              <w:snapToGrid w:val="0"/>
              <w:spacing w:beforeLines="50" w:before="180" w:line="300" w:lineRule="auto"/>
              <w:jc w:val="right"/>
              <w:rPr>
                <w:rFonts w:ascii="Arial" w:eastAsia="Times New Roman" w:hAnsi="Arial" w:cs="Arial"/>
                <w:color w:val="000000"/>
                <w:kern w:val="0"/>
                <w:szCs w:val="24"/>
              </w:rPr>
            </w:pPr>
            <w:r w:rsidRPr="004376E3">
              <w:rPr>
                <w:rFonts w:ascii="Arial" w:eastAsia="Times New Roman" w:hAnsi="Arial" w:cs="Arial"/>
                <w:color w:val="000000"/>
                <w:kern w:val="0"/>
                <w:szCs w:val="24"/>
              </w:rPr>
              <w:t>52</w:t>
            </w:r>
          </w:p>
        </w:tc>
      </w:tr>
      <w:tr w:rsidR="00D74EA9" w:rsidRPr="004376E3" w:rsidTr="002354AC">
        <w:trPr>
          <w:jc w:val="center"/>
        </w:trPr>
        <w:tc>
          <w:tcPr>
            <w:tcW w:w="2952" w:type="dxa"/>
            <w:tcBorders>
              <w:top w:val="nil"/>
              <w:left w:val="single" w:sz="12" w:space="0" w:color="808080"/>
              <w:bottom w:val="single" w:sz="12" w:space="0" w:color="808080"/>
              <w:right w:val="single" w:sz="8" w:space="0" w:color="808080"/>
            </w:tcBorders>
            <w:shd w:val="clear" w:color="auto" w:fill="auto"/>
            <w:noWrap/>
            <w:tcMar>
              <w:top w:w="0" w:type="dxa"/>
              <w:left w:w="108" w:type="dxa"/>
              <w:bottom w:w="0" w:type="dxa"/>
              <w:right w:w="120" w:type="dxa"/>
            </w:tcMar>
            <w:vAlign w:val="bottom"/>
            <w:hideMark/>
          </w:tcPr>
          <w:p w:rsidR="00D74EA9" w:rsidRPr="004376E3" w:rsidRDefault="00D74EA9" w:rsidP="00D74EA9">
            <w:pPr>
              <w:widowControl/>
              <w:snapToGrid w:val="0"/>
              <w:spacing w:beforeLines="50" w:before="180" w:line="300" w:lineRule="auto"/>
              <w:rPr>
                <w:rFonts w:ascii="Arial" w:eastAsia="新細明體" w:hAnsi="Arial" w:cs="Arial"/>
                <w:color w:val="000000"/>
                <w:kern w:val="0"/>
                <w:szCs w:val="24"/>
              </w:rPr>
            </w:pPr>
          </w:p>
        </w:tc>
        <w:tc>
          <w:tcPr>
            <w:tcW w:w="987" w:type="dxa"/>
            <w:tcBorders>
              <w:top w:val="nil"/>
              <w:left w:val="nil"/>
              <w:bottom w:val="single" w:sz="12" w:space="0" w:color="808080"/>
              <w:right w:val="single" w:sz="8" w:space="0" w:color="808080"/>
            </w:tcBorders>
            <w:shd w:val="clear" w:color="auto" w:fill="auto"/>
            <w:noWrap/>
            <w:tcMar>
              <w:top w:w="0" w:type="dxa"/>
              <w:left w:w="108" w:type="dxa"/>
              <w:bottom w:w="0" w:type="dxa"/>
              <w:right w:w="120" w:type="dxa"/>
            </w:tcMar>
            <w:vAlign w:val="bottom"/>
            <w:hideMark/>
          </w:tcPr>
          <w:p w:rsidR="00D74EA9" w:rsidRPr="004376E3" w:rsidRDefault="00D74EA9" w:rsidP="00D74EA9">
            <w:pPr>
              <w:widowControl/>
              <w:snapToGrid w:val="0"/>
              <w:spacing w:beforeLines="50" w:before="180" w:line="300" w:lineRule="auto"/>
              <w:rPr>
                <w:rFonts w:ascii="Arial" w:eastAsia="新細明體" w:hAnsi="Arial" w:cs="Arial"/>
                <w:color w:val="000000"/>
                <w:kern w:val="0"/>
                <w:szCs w:val="24"/>
              </w:rPr>
            </w:pPr>
          </w:p>
        </w:tc>
        <w:tc>
          <w:tcPr>
            <w:tcW w:w="966" w:type="dxa"/>
            <w:tcBorders>
              <w:top w:val="nil"/>
              <w:left w:val="nil"/>
              <w:bottom w:val="single" w:sz="12" w:space="0" w:color="808080"/>
              <w:right w:val="single" w:sz="8" w:space="0" w:color="808080"/>
            </w:tcBorders>
            <w:shd w:val="clear" w:color="auto" w:fill="auto"/>
            <w:noWrap/>
            <w:tcMar>
              <w:top w:w="0" w:type="dxa"/>
              <w:left w:w="108" w:type="dxa"/>
              <w:bottom w:w="0" w:type="dxa"/>
              <w:right w:w="120" w:type="dxa"/>
            </w:tcMar>
            <w:vAlign w:val="bottom"/>
            <w:hideMark/>
          </w:tcPr>
          <w:p w:rsidR="00D74EA9" w:rsidRPr="004376E3" w:rsidRDefault="00D74EA9" w:rsidP="00D74EA9">
            <w:pPr>
              <w:widowControl/>
              <w:snapToGrid w:val="0"/>
              <w:spacing w:beforeLines="50" w:before="180" w:line="300" w:lineRule="auto"/>
              <w:rPr>
                <w:rFonts w:ascii="Arial" w:eastAsia="新細明體" w:hAnsi="Arial" w:cs="Arial"/>
                <w:color w:val="000000"/>
                <w:kern w:val="0"/>
                <w:szCs w:val="24"/>
              </w:rPr>
            </w:pPr>
          </w:p>
        </w:tc>
        <w:tc>
          <w:tcPr>
            <w:tcW w:w="2152" w:type="dxa"/>
            <w:tcBorders>
              <w:top w:val="nil"/>
              <w:left w:val="nil"/>
              <w:bottom w:val="single" w:sz="12" w:space="0" w:color="808080"/>
              <w:right w:val="single" w:sz="12" w:space="0" w:color="808080"/>
            </w:tcBorders>
            <w:shd w:val="clear" w:color="auto" w:fill="auto"/>
            <w:noWrap/>
            <w:tcMar>
              <w:top w:w="0" w:type="dxa"/>
              <w:left w:w="108" w:type="dxa"/>
              <w:bottom w:w="0" w:type="dxa"/>
              <w:right w:w="120" w:type="dxa"/>
            </w:tcMar>
            <w:vAlign w:val="bottom"/>
            <w:hideMark/>
          </w:tcPr>
          <w:p w:rsidR="00D74EA9" w:rsidRPr="004376E3" w:rsidRDefault="00D74EA9" w:rsidP="00D74EA9">
            <w:pPr>
              <w:widowControl/>
              <w:snapToGrid w:val="0"/>
              <w:spacing w:beforeLines="50" w:before="180" w:line="300" w:lineRule="auto"/>
              <w:rPr>
                <w:rFonts w:ascii="Arial" w:eastAsia="新細明體" w:hAnsi="Arial" w:cs="Arial"/>
                <w:color w:val="000000"/>
                <w:kern w:val="0"/>
                <w:szCs w:val="24"/>
              </w:rPr>
            </w:pPr>
          </w:p>
        </w:tc>
      </w:tr>
    </w:tbl>
    <w:p w:rsidR="00D74EA9" w:rsidRDefault="00D74EA9" w:rsidP="00D74EA9">
      <w:pPr>
        <w:widowControl/>
        <w:shd w:val="clear" w:color="auto" w:fill="FFFFFF"/>
        <w:snapToGrid w:val="0"/>
        <w:spacing w:beforeLines="50" w:before="180" w:line="300" w:lineRule="auto"/>
        <w:rPr>
          <w:rFonts w:asciiTheme="minorEastAsia" w:hAnsiTheme="minorEastAsia" w:cs="Arial"/>
          <w:color w:val="000000"/>
          <w:kern w:val="0"/>
          <w:szCs w:val="24"/>
        </w:rPr>
      </w:pPr>
      <w:proofErr w:type="gramStart"/>
      <w:r>
        <w:rPr>
          <w:rFonts w:asciiTheme="minorEastAsia" w:hAnsiTheme="minorEastAsia" w:cs="Arial" w:hint="eastAsia"/>
          <w:color w:val="000000"/>
          <w:kern w:val="0"/>
          <w:szCs w:val="24"/>
        </w:rPr>
        <w:t>道瓊永續</w:t>
      </w:r>
      <w:proofErr w:type="gramEnd"/>
      <w:r>
        <w:rPr>
          <w:rFonts w:asciiTheme="minorEastAsia" w:hAnsiTheme="minorEastAsia" w:cs="Arial" w:hint="eastAsia"/>
          <w:color w:val="000000"/>
          <w:kern w:val="0"/>
          <w:szCs w:val="24"/>
        </w:rPr>
        <w:t>指數係針對全球58個行業，市值最大的</w:t>
      </w:r>
      <w:r>
        <w:rPr>
          <w:rFonts w:asciiTheme="minorEastAsia" w:hAnsiTheme="minorEastAsia" w:cs="Arial"/>
          <w:color w:val="000000"/>
          <w:kern w:val="0"/>
          <w:szCs w:val="24"/>
        </w:rPr>
        <w:t>2</w:t>
      </w:r>
      <w:r>
        <w:rPr>
          <w:rFonts w:asciiTheme="minorEastAsia" w:hAnsiTheme="minorEastAsia" w:cs="Arial" w:hint="eastAsia"/>
          <w:color w:val="000000"/>
          <w:kern w:val="0"/>
          <w:szCs w:val="24"/>
        </w:rPr>
        <w:t>500家企業，採用同業中最佳(best-in-class)的原則來進行量化評估，SAM的企業永續性評估提供了一個對經濟、環境與社會準則的深度分析，例如公司治理、水相關風險與利害關係人關係等項目，專注在各行業產業特定的風險與機會上。</w:t>
      </w:r>
    </w:p>
    <w:p w:rsidR="00D74EA9" w:rsidRPr="004376E3" w:rsidRDefault="00D74EA9" w:rsidP="00D74EA9">
      <w:pPr>
        <w:widowControl/>
        <w:shd w:val="clear" w:color="auto" w:fill="FFFFFF"/>
        <w:snapToGrid w:val="0"/>
        <w:spacing w:beforeLines="50" w:before="180" w:line="300" w:lineRule="auto"/>
        <w:rPr>
          <w:rFonts w:ascii="Arial" w:eastAsia="Times New Roman" w:hAnsi="Arial" w:cs="Arial"/>
          <w:color w:val="000000"/>
          <w:kern w:val="0"/>
          <w:szCs w:val="24"/>
        </w:rPr>
      </w:pPr>
      <w:r w:rsidRPr="004376E3">
        <w:rPr>
          <w:rFonts w:ascii="Arial" w:eastAsia="Times New Roman" w:hAnsi="Arial" w:cs="Arial"/>
          <w:color w:val="000000"/>
          <w:kern w:val="0"/>
          <w:szCs w:val="24"/>
        </w:rPr>
        <w:t xml:space="preserve">SAM </w:t>
      </w:r>
      <w:r>
        <w:rPr>
          <w:rFonts w:asciiTheme="minorEastAsia" w:hAnsiTheme="minorEastAsia" w:cs="Arial" w:hint="eastAsia"/>
          <w:color w:val="000000"/>
          <w:kern w:val="0"/>
          <w:szCs w:val="24"/>
        </w:rPr>
        <w:t>每年從58個行業中辨識出19個超級行業(</w:t>
      </w:r>
      <w:proofErr w:type="spellStart"/>
      <w:r>
        <w:rPr>
          <w:rFonts w:asciiTheme="minorEastAsia" w:hAnsiTheme="minorEastAsia" w:cs="Arial" w:hint="eastAsia"/>
          <w:color w:val="000000"/>
          <w:kern w:val="0"/>
          <w:szCs w:val="24"/>
        </w:rPr>
        <w:t>supersector</w:t>
      </w:r>
      <w:proofErr w:type="spellEnd"/>
      <w:r>
        <w:rPr>
          <w:rFonts w:asciiTheme="minorEastAsia" w:hAnsiTheme="minorEastAsia" w:cs="Arial" w:hint="eastAsia"/>
          <w:color w:val="000000"/>
          <w:kern w:val="0"/>
          <w:szCs w:val="24"/>
        </w:rPr>
        <w:t>)的頂尖企業，2012-2013年度的超級行業領導者如下表所示：</w:t>
      </w:r>
      <w:r w:rsidRPr="004376E3">
        <w:rPr>
          <w:rFonts w:ascii="Arial" w:eastAsia="Times New Roman" w:hAnsi="Arial" w:cs="Arial"/>
          <w:color w:val="000000"/>
          <w:kern w:val="0"/>
          <w:szCs w:val="24"/>
        </w:rPr>
        <w:t>:</w:t>
      </w:r>
    </w:p>
    <w:tbl>
      <w:tblPr>
        <w:tblStyle w:val="a7"/>
        <w:tblW w:w="0" w:type="auto"/>
        <w:jc w:val="center"/>
        <w:tblLook w:val="04A0" w:firstRow="1" w:lastRow="0" w:firstColumn="1" w:lastColumn="0" w:noHBand="0" w:noVBand="1"/>
      </w:tblPr>
      <w:tblGrid>
        <w:gridCol w:w="4926"/>
        <w:gridCol w:w="3378"/>
      </w:tblGrid>
      <w:tr w:rsidR="00D74EA9" w:rsidRPr="004376E3" w:rsidTr="00D74EA9">
        <w:trPr>
          <w:jc w:val="center"/>
        </w:trPr>
        <w:tc>
          <w:tcPr>
            <w:tcW w:w="0" w:type="auto"/>
            <w:noWrap/>
            <w:hideMark/>
          </w:tcPr>
          <w:p w:rsidR="00D74EA9" w:rsidRPr="004376E3" w:rsidRDefault="00D74EA9" w:rsidP="00D74EA9">
            <w:pPr>
              <w:widowControl/>
              <w:snapToGrid w:val="0"/>
              <w:spacing w:beforeLines="50" w:before="180" w:line="300" w:lineRule="auto"/>
              <w:jc w:val="center"/>
              <w:rPr>
                <w:rFonts w:ascii="Arial" w:eastAsia="Times New Roman" w:hAnsi="Arial" w:cs="Arial"/>
                <w:color w:val="000000"/>
                <w:kern w:val="0"/>
                <w:szCs w:val="24"/>
              </w:rPr>
            </w:pPr>
            <w:r>
              <w:rPr>
                <w:rFonts w:ascii="Arial" w:hAnsi="Arial" w:cs="Arial" w:hint="eastAsia"/>
                <w:b/>
                <w:bCs/>
                <w:color w:val="000000"/>
                <w:kern w:val="0"/>
                <w:szCs w:val="24"/>
              </w:rPr>
              <w:t>超級行業領導者</w:t>
            </w:r>
            <w:r w:rsidRPr="004376E3">
              <w:rPr>
                <w:rFonts w:ascii="Arial" w:eastAsia="Times New Roman" w:hAnsi="Arial" w:cs="Arial"/>
                <w:b/>
                <w:bCs/>
                <w:color w:val="000000"/>
                <w:kern w:val="0"/>
                <w:szCs w:val="24"/>
              </w:rPr>
              <w:t>(2012</w:t>
            </w:r>
            <w:r>
              <w:rPr>
                <w:rFonts w:ascii="Arial" w:hAnsi="Arial" w:cs="Arial" w:hint="eastAsia"/>
                <w:b/>
                <w:bCs/>
                <w:color w:val="000000"/>
                <w:kern w:val="0"/>
                <w:szCs w:val="24"/>
              </w:rPr>
              <w:t>-</w:t>
            </w:r>
            <w:r w:rsidRPr="004376E3">
              <w:rPr>
                <w:rFonts w:ascii="Arial" w:eastAsia="Times New Roman" w:hAnsi="Arial" w:cs="Arial"/>
                <w:b/>
                <w:bCs/>
                <w:color w:val="000000"/>
                <w:kern w:val="0"/>
                <w:szCs w:val="24"/>
              </w:rPr>
              <w:t xml:space="preserve"> 2013)</w:t>
            </w:r>
          </w:p>
        </w:tc>
        <w:tc>
          <w:tcPr>
            <w:tcW w:w="0" w:type="auto"/>
            <w:noWrap/>
            <w:hideMark/>
          </w:tcPr>
          <w:p w:rsidR="00D74EA9" w:rsidRPr="004376E3" w:rsidRDefault="00D74EA9" w:rsidP="00D74EA9">
            <w:pPr>
              <w:widowControl/>
              <w:snapToGrid w:val="0"/>
              <w:spacing w:beforeLines="50" w:before="180" w:line="300" w:lineRule="auto"/>
              <w:jc w:val="center"/>
              <w:rPr>
                <w:rFonts w:ascii="Arial" w:eastAsia="Times New Roman" w:hAnsi="Arial" w:cs="Arial"/>
                <w:color w:val="000000"/>
                <w:kern w:val="0"/>
                <w:szCs w:val="24"/>
              </w:rPr>
            </w:pPr>
            <w:r>
              <w:rPr>
                <w:rFonts w:ascii="Arial" w:hAnsi="Arial" w:cs="Arial" w:hint="eastAsia"/>
                <w:b/>
                <w:bCs/>
                <w:color w:val="000000"/>
                <w:kern w:val="0"/>
                <w:szCs w:val="24"/>
              </w:rPr>
              <w:t>超級行業</w:t>
            </w:r>
          </w:p>
        </w:tc>
      </w:tr>
      <w:tr w:rsidR="00D74EA9" w:rsidRPr="004376E3" w:rsidTr="00D74EA9">
        <w:trPr>
          <w:jc w:val="center"/>
        </w:trPr>
        <w:tc>
          <w:tcPr>
            <w:tcW w:w="0" w:type="auto"/>
            <w:noWrap/>
            <w:hideMark/>
          </w:tcPr>
          <w:p w:rsidR="00D74EA9" w:rsidRPr="004376E3" w:rsidRDefault="00D74EA9" w:rsidP="00D74EA9">
            <w:pPr>
              <w:widowControl/>
              <w:snapToGrid w:val="0"/>
              <w:spacing w:beforeLines="50" w:before="180" w:line="300" w:lineRule="auto"/>
              <w:rPr>
                <w:rFonts w:ascii="Arial" w:eastAsia="Times New Roman" w:hAnsi="Arial" w:cs="Arial"/>
                <w:color w:val="000000"/>
                <w:kern w:val="0"/>
                <w:szCs w:val="24"/>
              </w:rPr>
            </w:pPr>
            <w:proofErr w:type="spellStart"/>
            <w:r w:rsidRPr="004376E3">
              <w:rPr>
                <w:rFonts w:ascii="Arial" w:eastAsia="Times New Roman" w:hAnsi="Arial" w:cs="Arial"/>
                <w:color w:val="000000"/>
                <w:kern w:val="0"/>
                <w:szCs w:val="24"/>
              </w:rPr>
              <w:t>Bayerische</w:t>
            </w:r>
            <w:proofErr w:type="spellEnd"/>
            <w:r w:rsidRPr="004376E3">
              <w:rPr>
                <w:rFonts w:ascii="Arial" w:eastAsia="Times New Roman" w:hAnsi="Arial" w:cs="Arial"/>
                <w:color w:val="000000"/>
                <w:kern w:val="0"/>
                <w:szCs w:val="24"/>
              </w:rPr>
              <w:t xml:space="preserve"> </w:t>
            </w:r>
            <w:proofErr w:type="spellStart"/>
            <w:r w:rsidRPr="004376E3">
              <w:rPr>
                <w:rFonts w:ascii="Arial" w:eastAsia="Times New Roman" w:hAnsi="Arial" w:cs="Arial"/>
                <w:color w:val="000000"/>
                <w:kern w:val="0"/>
                <w:szCs w:val="24"/>
              </w:rPr>
              <w:t>Motoren</w:t>
            </w:r>
            <w:proofErr w:type="spellEnd"/>
            <w:r w:rsidRPr="004376E3">
              <w:rPr>
                <w:rFonts w:ascii="Arial" w:eastAsia="Times New Roman" w:hAnsi="Arial" w:cs="Arial"/>
                <w:color w:val="000000"/>
                <w:kern w:val="0"/>
                <w:szCs w:val="24"/>
              </w:rPr>
              <w:t xml:space="preserve"> </w:t>
            </w:r>
            <w:proofErr w:type="spellStart"/>
            <w:r w:rsidRPr="004376E3">
              <w:rPr>
                <w:rFonts w:ascii="Arial" w:eastAsia="Times New Roman" w:hAnsi="Arial" w:cs="Arial"/>
                <w:color w:val="000000"/>
                <w:kern w:val="0"/>
                <w:szCs w:val="24"/>
              </w:rPr>
              <w:t>Werke</w:t>
            </w:r>
            <w:proofErr w:type="spellEnd"/>
            <w:r w:rsidRPr="004376E3">
              <w:rPr>
                <w:rFonts w:ascii="Arial" w:eastAsia="Times New Roman" w:hAnsi="Arial" w:cs="Arial"/>
                <w:color w:val="000000"/>
                <w:kern w:val="0"/>
                <w:szCs w:val="24"/>
              </w:rPr>
              <w:t xml:space="preserve"> AG</w:t>
            </w:r>
          </w:p>
        </w:tc>
        <w:tc>
          <w:tcPr>
            <w:tcW w:w="0" w:type="auto"/>
            <w:noWrap/>
            <w:hideMark/>
          </w:tcPr>
          <w:p w:rsidR="00D74EA9" w:rsidRPr="004376E3" w:rsidRDefault="00D74EA9" w:rsidP="00D74EA9">
            <w:pPr>
              <w:widowControl/>
              <w:snapToGrid w:val="0"/>
              <w:spacing w:beforeLines="50" w:before="180" w:line="300" w:lineRule="auto"/>
              <w:rPr>
                <w:rFonts w:ascii="Arial" w:eastAsia="Times New Roman" w:hAnsi="Arial" w:cs="Arial"/>
                <w:color w:val="000000"/>
                <w:kern w:val="0"/>
                <w:szCs w:val="24"/>
              </w:rPr>
            </w:pPr>
            <w:r w:rsidRPr="004376E3">
              <w:rPr>
                <w:rFonts w:ascii="Arial" w:eastAsia="Times New Roman" w:hAnsi="Arial" w:cs="Arial"/>
                <w:color w:val="000000"/>
                <w:kern w:val="0"/>
                <w:szCs w:val="24"/>
              </w:rPr>
              <w:t>Automobiles &amp; Parts</w:t>
            </w:r>
          </w:p>
        </w:tc>
      </w:tr>
      <w:tr w:rsidR="00D74EA9" w:rsidRPr="004376E3" w:rsidTr="00D74EA9">
        <w:trPr>
          <w:jc w:val="center"/>
        </w:trPr>
        <w:tc>
          <w:tcPr>
            <w:tcW w:w="0" w:type="auto"/>
            <w:noWrap/>
            <w:hideMark/>
          </w:tcPr>
          <w:p w:rsidR="00D74EA9" w:rsidRPr="004376E3" w:rsidRDefault="00D74EA9" w:rsidP="00D74EA9">
            <w:pPr>
              <w:widowControl/>
              <w:snapToGrid w:val="0"/>
              <w:spacing w:beforeLines="50" w:before="180" w:line="300" w:lineRule="auto"/>
              <w:rPr>
                <w:rFonts w:ascii="Arial" w:eastAsia="Times New Roman" w:hAnsi="Arial" w:cs="Arial"/>
                <w:color w:val="000000"/>
                <w:kern w:val="0"/>
                <w:szCs w:val="24"/>
              </w:rPr>
            </w:pPr>
            <w:r w:rsidRPr="004376E3">
              <w:rPr>
                <w:rFonts w:ascii="Arial" w:eastAsia="Times New Roman" w:hAnsi="Arial" w:cs="Arial"/>
                <w:color w:val="000000"/>
                <w:kern w:val="0"/>
                <w:szCs w:val="24"/>
              </w:rPr>
              <w:t>Australia &amp; New Zealand Banking Group Ltd</w:t>
            </w:r>
          </w:p>
        </w:tc>
        <w:tc>
          <w:tcPr>
            <w:tcW w:w="0" w:type="auto"/>
            <w:noWrap/>
            <w:hideMark/>
          </w:tcPr>
          <w:p w:rsidR="00D74EA9" w:rsidRPr="004376E3" w:rsidRDefault="00D74EA9" w:rsidP="00D74EA9">
            <w:pPr>
              <w:widowControl/>
              <w:snapToGrid w:val="0"/>
              <w:spacing w:beforeLines="50" w:before="180" w:line="300" w:lineRule="auto"/>
              <w:rPr>
                <w:rFonts w:ascii="Arial" w:eastAsia="Times New Roman" w:hAnsi="Arial" w:cs="Arial"/>
                <w:color w:val="000000"/>
                <w:kern w:val="0"/>
                <w:szCs w:val="24"/>
              </w:rPr>
            </w:pPr>
            <w:r w:rsidRPr="004376E3">
              <w:rPr>
                <w:rFonts w:ascii="Arial" w:eastAsia="Times New Roman" w:hAnsi="Arial" w:cs="Arial"/>
                <w:color w:val="000000"/>
                <w:kern w:val="0"/>
                <w:szCs w:val="24"/>
              </w:rPr>
              <w:t>Banks</w:t>
            </w:r>
          </w:p>
        </w:tc>
      </w:tr>
      <w:tr w:rsidR="00D74EA9" w:rsidRPr="004376E3" w:rsidTr="00D74EA9">
        <w:trPr>
          <w:jc w:val="center"/>
        </w:trPr>
        <w:tc>
          <w:tcPr>
            <w:tcW w:w="0" w:type="auto"/>
            <w:noWrap/>
            <w:hideMark/>
          </w:tcPr>
          <w:p w:rsidR="00D74EA9" w:rsidRPr="004376E3" w:rsidRDefault="00D74EA9" w:rsidP="00D74EA9">
            <w:pPr>
              <w:widowControl/>
              <w:snapToGrid w:val="0"/>
              <w:spacing w:beforeLines="50" w:before="180" w:line="300" w:lineRule="auto"/>
              <w:rPr>
                <w:rFonts w:ascii="Arial" w:eastAsia="Times New Roman" w:hAnsi="Arial" w:cs="Arial"/>
                <w:color w:val="000000"/>
                <w:kern w:val="0"/>
                <w:szCs w:val="24"/>
              </w:rPr>
            </w:pPr>
            <w:r w:rsidRPr="004376E3">
              <w:rPr>
                <w:rFonts w:ascii="Arial" w:eastAsia="Times New Roman" w:hAnsi="Arial" w:cs="Arial"/>
                <w:color w:val="000000"/>
                <w:kern w:val="0"/>
                <w:szCs w:val="24"/>
              </w:rPr>
              <w:t>UPM-</w:t>
            </w:r>
            <w:proofErr w:type="spellStart"/>
            <w:r w:rsidRPr="004376E3">
              <w:rPr>
                <w:rFonts w:ascii="Arial" w:eastAsia="Times New Roman" w:hAnsi="Arial" w:cs="Arial"/>
                <w:color w:val="000000"/>
                <w:kern w:val="0"/>
                <w:szCs w:val="24"/>
              </w:rPr>
              <w:t>Kymmene</w:t>
            </w:r>
            <w:proofErr w:type="spellEnd"/>
            <w:r w:rsidRPr="004376E3">
              <w:rPr>
                <w:rFonts w:ascii="Arial" w:eastAsia="Times New Roman" w:hAnsi="Arial" w:cs="Arial"/>
                <w:color w:val="000000"/>
                <w:kern w:val="0"/>
                <w:szCs w:val="24"/>
              </w:rPr>
              <w:t xml:space="preserve"> OYJ</w:t>
            </w:r>
          </w:p>
        </w:tc>
        <w:tc>
          <w:tcPr>
            <w:tcW w:w="0" w:type="auto"/>
            <w:noWrap/>
            <w:hideMark/>
          </w:tcPr>
          <w:p w:rsidR="00D74EA9" w:rsidRPr="004376E3" w:rsidRDefault="00D74EA9" w:rsidP="00D74EA9">
            <w:pPr>
              <w:widowControl/>
              <w:snapToGrid w:val="0"/>
              <w:spacing w:beforeLines="50" w:before="180" w:line="300" w:lineRule="auto"/>
              <w:rPr>
                <w:rFonts w:ascii="Arial" w:eastAsia="Times New Roman" w:hAnsi="Arial" w:cs="Arial"/>
                <w:color w:val="000000"/>
                <w:kern w:val="0"/>
                <w:szCs w:val="24"/>
              </w:rPr>
            </w:pPr>
            <w:r w:rsidRPr="004376E3">
              <w:rPr>
                <w:rFonts w:ascii="Arial" w:eastAsia="Times New Roman" w:hAnsi="Arial" w:cs="Arial"/>
                <w:color w:val="000000"/>
                <w:kern w:val="0"/>
                <w:szCs w:val="24"/>
              </w:rPr>
              <w:t>Basic Resources</w:t>
            </w:r>
          </w:p>
        </w:tc>
      </w:tr>
      <w:tr w:rsidR="00D74EA9" w:rsidRPr="004376E3" w:rsidTr="00D74EA9">
        <w:trPr>
          <w:jc w:val="center"/>
        </w:trPr>
        <w:tc>
          <w:tcPr>
            <w:tcW w:w="0" w:type="auto"/>
            <w:noWrap/>
            <w:hideMark/>
          </w:tcPr>
          <w:p w:rsidR="00D74EA9" w:rsidRPr="004376E3" w:rsidRDefault="00D74EA9" w:rsidP="00D74EA9">
            <w:pPr>
              <w:widowControl/>
              <w:snapToGrid w:val="0"/>
              <w:spacing w:beforeLines="50" w:before="180" w:line="300" w:lineRule="auto"/>
              <w:rPr>
                <w:rFonts w:ascii="Arial" w:eastAsia="Times New Roman" w:hAnsi="Arial" w:cs="Arial"/>
                <w:color w:val="000000"/>
                <w:kern w:val="0"/>
                <w:szCs w:val="24"/>
              </w:rPr>
            </w:pPr>
            <w:proofErr w:type="spellStart"/>
            <w:r w:rsidRPr="004376E3">
              <w:rPr>
                <w:rFonts w:ascii="Arial" w:eastAsia="Times New Roman" w:hAnsi="Arial" w:cs="Arial"/>
                <w:color w:val="000000"/>
                <w:kern w:val="0"/>
                <w:szCs w:val="24"/>
              </w:rPr>
              <w:t>Akzo</w:t>
            </w:r>
            <w:proofErr w:type="spellEnd"/>
            <w:r w:rsidRPr="004376E3">
              <w:rPr>
                <w:rFonts w:ascii="Arial" w:eastAsia="Times New Roman" w:hAnsi="Arial" w:cs="Arial"/>
                <w:color w:val="000000"/>
                <w:kern w:val="0"/>
                <w:szCs w:val="24"/>
              </w:rPr>
              <w:t xml:space="preserve"> Nobel NV</w:t>
            </w:r>
          </w:p>
        </w:tc>
        <w:tc>
          <w:tcPr>
            <w:tcW w:w="0" w:type="auto"/>
            <w:noWrap/>
            <w:hideMark/>
          </w:tcPr>
          <w:p w:rsidR="00D74EA9" w:rsidRPr="004376E3" w:rsidRDefault="00D74EA9" w:rsidP="00D74EA9">
            <w:pPr>
              <w:widowControl/>
              <w:snapToGrid w:val="0"/>
              <w:spacing w:beforeLines="50" w:before="180" w:line="300" w:lineRule="auto"/>
              <w:rPr>
                <w:rFonts w:ascii="Arial" w:eastAsia="Times New Roman" w:hAnsi="Arial" w:cs="Arial"/>
                <w:color w:val="000000"/>
                <w:kern w:val="0"/>
                <w:szCs w:val="24"/>
              </w:rPr>
            </w:pPr>
            <w:r w:rsidRPr="004376E3">
              <w:rPr>
                <w:rFonts w:ascii="Arial" w:eastAsia="Times New Roman" w:hAnsi="Arial" w:cs="Arial"/>
                <w:color w:val="000000"/>
                <w:kern w:val="0"/>
                <w:szCs w:val="24"/>
              </w:rPr>
              <w:t>Chemicals</w:t>
            </w:r>
          </w:p>
        </w:tc>
      </w:tr>
      <w:tr w:rsidR="00D74EA9" w:rsidRPr="004376E3" w:rsidTr="00D74EA9">
        <w:trPr>
          <w:jc w:val="center"/>
        </w:trPr>
        <w:tc>
          <w:tcPr>
            <w:tcW w:w="0" w:type="auto"/>
            <w:noWrap/>
            <w:hideMark/>
          </w:tcPr>
          <w:p w:rsidR="00D74EA9" w:rsidRPr="004376E3" w:rsidRDefault="00D74EA9" w:rsidP="00D74EA9">
            <w:pPr>
              <w:widowControl/>
              <w:snapToGrid w:val="0"/>
              <w:spacing w:beforeLines="50" w:before="180" w:line="300" w:lineRule="auto"/>
              <w:rPr>
                <w:rFonts w:ascii="Arial" w:eastAsia="Times New Roman" w:hAnsi="Arial" w:cs="Arial"/>
                <w:color w:val="000000"/>
                <w:kern w:val="0"/>
                <w:szCs w:val="24"/>
              </w:rPr>
            </w:pPr>
            <w:r w:rsidRPr="004376E3">
              <w:rPr>
                <w:rFonts w:ascii="Arial" w:eastAsia="Times New Roman" w:hAnsi="Arial" w:cs="Arial"/>
                <w:color w:val="000000"/>
                <w:kern w:val="0"/>
                <w:szCs w:val="24"/>
              </w:rPr>
              <w:t>GS Engineering &amp; Construction Corp</w:t>
            </w:r>
          </w:p>
        </w:tc>
        <w:tc>
          <w:tcPr>
            <w:tcW w:w="0" w:type="auto"/>
            <w:noWrap/>
            <w:hideMark/>
          </w:tcPr>
          <w:p w:rsidR="00D74EA9" w:rsidRPr="004376E3" w:rsidRDefault="00D74EA9" w:rsidP="00D74EA9">
            <w:pPr>
              <w:widowControl/>
              <w:snapToGrid w:val="0"/>
              <w:spacing w:beforeLines="50" w:before="180" w:line="300" w:lineRule="auto"/>
              <w:rPr>
                <w:rFonts w:ascii="Arial" w:eastAsia="Times New Roman" w:hAnsi="Arial" w:cs="Arial"/>
                <w:color w:val="000000"/>
                <w:kern w:val="0"/>
                <w:szCs w:val="24"/>
              </w:rPr>
            </w:pPr>
            <w:r w:rsidRPr="004376E3">
              <w:rPr>
                <w:rFonts w:ascii="Arial" w:eastAsia="Times New Roman" w:hAnsi="Arial" w:cs="Arial"/>
                <w:color w:val="000000"/>
                <w:kern w:val="0"/>
                <w:szCs w:val="24"/>
              </w:rPr>
              <w:t>Construction &amp; Materials</w:t>
            </w:r>
          </w:p>
        </w:tc>
      </w:tr>
      <w:tr w:rsidR="00D74EA9" w:rsidRPr="004376E3" w:rsidTr="00D74EA9">
        <w:trPr>
          <w:jc w:val="center"/>
        </w:trPr>
        <w:tc>
          <w:tcPr>
            <w:tcW w:w="0" w:type="auto"/>
            <w:noWrap/>
            <w:hideMark/>
          </w:tcPr>
          <w:p w:rsidR="00D74EA9" w:rsidRPr="004376E3" w:rsidRDefault="00D74EA9" w:rsidP="00D74EA9">
            <w:pPr>
              <w:widowControl/>
              <w:snapToGrid w:val="0"/>
              <w:spacing w:beforeLines="50" w:before="180" w:line="300" w:lineRule="auto"/>
              <w:rPr>
                <w:rFonts w:ascii="Arial" w:eastAsia="Times New Roman" w:hAnsi="Arial" w:cs="Arial"/>
                <w:color w:val="000000"/>
                <w:kern w:val="0"/>
                <w:szCs w:val="24"/>
              </w:rPr>
            </w:pPr>
            <w:proofErr w:type="spellStart"/>
            <w:r w:rsidRPr="004376E3">
              <w:rPr>
                <w:rFonts w:ascii="Arial" w:eastAsia="Times New Roman" w:hAnsi="Arial" w:cs="Arial"/>
                <w:color w:val="000000"/>
                <w:kern w:val="0"/>
                <w:szCs w:val="24"/>
              </w:rPr>
              <w:t>Itausa</w:t>
            </w:r>
            <w:proofErr w:type="spellEnd"/>
            <w:r w:rsidRPr="004376E3">
              <w:rPr>
                <w:rFonts w:ascii="Arial" w:eastAsia="Times New Roman" w:hAnsi="Arial" w:cs="Arial"/>
                <w:color w:val="000000"/>
                <w:kern w:val="0"/>
                <w:szCs w:val="24"/>
              </w:rPr>
              <w:t xml:space="preserve"> - </w:t>
            </w:r>
            <w:proofErr w:type="spellStart"/>
            <w:r w:rsidRPr="004376E3">
              <w:rPr>
                <w:rFonts w:ascii="Arial" w:eastAsia="Times New Roman" w:hAnsi="Arial" w:cs="Arial"/>
                <w:color w:val="000000"/>
                <w:kern w:val="0"/>
                <w:szCs w:val="24"/>
              </w:rPr>
              <w:t>Investimentos</w:t>
            </w:r>
            <w:proofErr w:type="spellEnd"/>
            <w:r w:rsidRPr="004376E3">
              <w:rPr>
                <w:rFonts w:ascii="Arial" w:eastAsia="Times New Roman" w:hAnsi="Arial" w:cs="Arial"/>
                <w:color w:val="000000"/>
                <w:kern w:val="0"/>
                <w:szCs w:val="24"/>
              </w:rPr>
              <w:t xml:space="preserve"> </w:t>
            </w:r>
            <w:proofErr w:type="spellStart"/>
            <w:r w:rsidRPr="004376E3">
              <w:rPr>
                <w:rFonts w:ascii="Arial" w:eastAsia="Times New Roman" w:hAnsi="Arial" w:cs="Arial"/>
                <w:color w:val="000000"/>
                <w:kern w:val="0"/>
                <w:szCs w:val="24"/>
              </w:rPr>
              <w:t>Itau</w:t>
            </w:r>
            <w:proofErr w:type="spellEnd"/>
            <w:r w:rsidRPr="004376E3">
              <w:rPr>
                <w:rFonts w:ascii="Arial" w:eastAsia="Times New Roman" w:hAnsi="Arial" w:cs="Arial"/>
                <w:color w:val="000000"/>
                <w:kern w:val="0"/>
                <w:szCs w:val="24"/>
              </w:rPr>
              <w:t xml:space="preserve"> SA</w:t>
            </w:r>
          </w:p>
        </w:tc>
        <w:tc>
          <w:tcPr>
            <w:tcW w:w="0" w:type="auto"/>
            <w:noWrap/>
            <w:hideMark/>
          </w:tcPr>
          <w:p w:rsidR="00D74EA9" w:rsidRPr="004376E3" w:rsidRDefault="00D74EA9" w:rsidP="00D74EA9">
            <w:pPr>
              <w:widowControl/>
              <w:snapToGrid w:val="0"/>
              <w:spacing w:beforeLines="50" w:before="180" w:line="300" w:lineRule="auto"/>
              <w:rPr>
                <w:rFonts w:ascii="Arial" w:eastAsia="Times New Roman" w:hAnsi="Arial" w:cs="Arial"/>
                <w:color w:val="000000"/>
                <w:kern w:val="0"/>
                <w:szCs w:val="24"/>
              </w:rPr>
            </w:pPr>
            <w:r w:rsidRPr="004376E3">
              <w:rPr>
                <w:rFonts w:ascii="Arial" w:eastAsia="Times New Roman" w:hAnsi="Arial" w:cs="Arial"/>
                <w:color w:val="000000"/>
                <w:kern w:val="0"/>
                <w:szCs w:val="24"/>
              </w:rPr>
              <w:t>Financial Services</w:t>
            </w:r>
          </w:p>
        </w:tc>
      </w:tr>
      <w:tr w:rsidR="00D74EA9" w:rsidRPr="004376E3" w:rsidTr="00D74EA9">
        <w:trPr>
          <w:jc w:val="center"/>
        </w:trPr>
        <w:tc>
          <w:tcPr>
            <w:tcW w:w="0" w:type="auto"/>
            <w:noWrap/>
            <w:hideMark/>
          </w:tcPr>
          <w:p w:rsidR="00D74EA9" w:rsidRPr="004376E3" w:rsidRDefault="00D74EA9" w:rsidP="00D74EA9">
            <w:pPr>
              <w:widowControl/>
              <w:snapToGrid w:val="0"/>
              <w:spacing w:beforeLines="50" w:before="180" w:line="300" w:lineRule="auto"/>
              <w:rPr>
                <w:rFonts w:ascii="Arial" w:eastAsia="Times New Roman" w:hAnsi="Arial" w:cs="Arial"/>
                <w:color w:val="000000"/>
                <w:kern w:val="0"/>
                <w:szCs w:val="24"/>
              </w:rPr>
            </w:pPr>
            <w:r w:rsidRPr="004376E3">
              <w:rPr>
                <w:rFonts w:ascii="Arial" w:eastAsia="Times New Roman" w:hAnsi="Arial" w:cs="Arial"/>
                <w:color w:val="000000"/>
                <w:kern w:val="0"/>
                <w:szCs w:val="24"/>
              </w:rPr>
              <w:t>Unilever NV</w:t>
            </w:r>
          </w:p>
        </w:tc>
        <w:tc>
          <w:tcPr>
            <w:tcW w:w="0" w:type="auto"/>
            <w:noWrap/>
            <w:hideMark/>
          </w:tcPr>
          <w:p w:rsidR="00D74EA9" w:rsidRPr="004376E3" w:rsidRDefault="00D74EA9" w:rsidP="00D74EA9">
            <w:pPr>
              <w:widowControl/>
              <w:snapToGrid w:val="0"/>
              <w:spacing w:beforeLines="50" w:before="180" w:line="300" w:lineRule="auto"/>
              <w:rPr>
                <w:rFonts w:ascii="Arial" w:eastAsia="Times New Roman" w:hAnsi="Arial" w:cs="Arial"/>
                <w:color w:val="000000"/>
                <w:kern w:val="0"/>
                <w:szCs w:val="24"/>
              </w:rPr>
            </w:pPr>
            <w:r w:rsidRPr="004376E3">
              <w:rPr>
                <w:rFonts w:ascii="Arial" w:eastAsia="Times New Roman" w:hAnsi="Arial" w:cs="Arial"/>
                <w:color w:val="000000"/>
                <w:kern w:val="0"/>
                <w:szCs w:val="24"/>
              </w:rPr>
              <w:t>Food &amp; Beverage</w:t>
            </w:r>
          </w:p>
        </w:tc>
      </w:tr>
      <w:tr w:rsidR="00D74EA9" w:rsidRPr="004376E3" w:rsidTr="00D74EA9">
        <w:trPr>
          <w:jc w:val="center"/>
        </w:trPr>
        <w:tc>
          <w:tcPr>
            <w:tcW w:w="0" w:type="auto"/>
            <w:noWrap/>
            <w:hideMark/>
          </w:tcPr>
          <w:p w:rsidR="00D74EA9" w:rsidRPr="004376E3" w:rsidRDefault="00D74EA9" w:rsidP="00D74EA9">
            <w:pPr>
              <w:widowControl/>
              <w:snapToGrid w:val="0"/>
              <w:spacing w:beforeLines="50" w:before="180" w:line="300" w:lineRule="auto"/>
              <w:rPr>
                <w:rFonts w:ascii="Arial" w:eastAsia="Times New Roman" w:hAnsi="Arial" w:cs="Arial"/>
                <w:color w:val="000000"/>
                <w:kern w:val="0"/>
                <w:szCs w:val="24"/>
              </w:rPr>
            </w:pPr>
            <w:r w:rsidRPr="004376E3">
              <w:rPr>
                <w:rFonts w:ascii="Arial" w:eastAsia="Times New Roman" w:hAnsi="Arial" w:cs="Arial"/>
                <w:color w:val="000000"/>
                <w:kern w:val="0"/>
                <w:szCs w:val="24"/>
              </w:rPr>
              <w:t>Roche Holding AG</w:t>
            </w:r>
          </w:p>
        </w:tc>
        <w:tc>
          <w:tcPr>
            <w:tcW w:w="0" w:type="auto"/>
            <w:noWrap/>
            <w:hideMark/>
          </w:tcPr>
          <w:p w:rsidR="00D74EA9" w:rsidRPr="004376E3" w:rsidRDefault="00D74EA9" w:rsidP="00D74EA9">
            <w:pPr>
              <w:widowControl/>
              <w:snapToGrid w:val="0"/>
              <w:spacing w:beforeLines="50" w:before="180" w:line="300" w:lineRule="auto"/>
              <w:rPr>
                <w:rFonts w:ascii="Arial" w:eastAsia="Times New Roman" w:hAnsi="Arial" w:cs="Arial"/>
                <w:color w:val="000000"/>
                <w:kern w:val="0"/>
                <w:szCs w:val="24"/>
              </w:rPr>
            </w:pPr>
            <w:r w:rsidRPr="004376E3">
              <w:rPr>
                <w:rFonts w:ascii="Arial" w:eastAsia="Times New Roman" w:hAnsi="Arial" w:cs="Arial"/>
                <w:color w:val="000000"/>
                <w:kern w:val="0"/>
                <w:szCs w:val="24"/>
              </w:rPr>
              <w:t>Healthcare</w:t>
            </w:r>
          </w:p>
        </w:tc>
      </w:tr>
      <w:tr w:rsidR="00D74EA9" w:rsidRPr="004376E3" w:rsidTr="00D74EA9">
        <w:trPr>
          <w:jc w:val="center"/>
        </w:trPr>
        <w:tc>
          <w:tcPr>
            <w:tcW w:w="0" w:type="auto"/>
            <w:noWrap/>
            <w:hideMark/>
          </w:tcPr>
          <w:p w:rsidR="00D74EA9" w:rsidRPr="004376E3" w:rsidRDefault="00D74EA9" w:rsidP="00D74EA9">
            <w:pPr>
              <w:widowControl/>
              <w:snapToGrid w:val="0"/>
              <w:spacing w:beforeLines="50" w:before="180" w:line="300" w:lineRule="auto"/>
              <w:rPr>
                <w:rFonts w:ascii="Arial" w:eastAsia="Times New Roman" w:hAnsi="Arial" w:cs="Arial"/>
                <w:color w:val="000000"/>
                <w:kern w:val="0"/>
                <w:szCs w:val="24"/>
              </w:rPr>
            </w:pPr>
            <w:r w:rsidRPr="004376E3">
              <w:rPr>
                <w:rFonts w:ascii="Arial" w:eastAsia="Times New Roman" w:hAnsi="Arial" w:cs="Arial"/>
                <w:color w:val="000000"/>
                <w:kern w:val="0"/>
                <w:szCs w:val="24"/>
              </w:rPr>
              <w:t>Siemens AG</w:t>
            </w:r>
          </w:p>
        </w:tc>
        <w:tc>
          <w:tcPr>
            <w:tcW w:w="0" w:type="auto"/>
            <w:noWrap/>
            <w:hideMark/>
          </w:tcPr>
          <w:p w:rsidR="00D74EA9" w:rsidRPr="004376E3" w:rsidRDefault="00D74EA9" w:rsidP="00D74EA9">
            <w:pPr>
              <w:widowControl/>
              <w:snapToGrid w:val="0"/>
              <w:spacing w:beforeLines="50" w:before="180" w:line="300" w:lineRule="auto"/>
              <w:rPr>
                <w:rFonts w:ascii="Arial" w:eastAsia="Times New Roman" w:hAnsi="Arial" w:cs="Arial"/>
                <w:color w:val="000000"/>
                <w:kern w:val="0"/>
                <w:szCs w:val="24"/>
              </w:rPr>
            </w:pPr>
            <w:r w:rsidRPr="004376E3">
              <w:rPr>
                <w:rFonts w:ascii="Arial" w:eastAsia="Times New Roman" w:hAnsi="Arial" w:cs="Arial"/>
                <w:color w:val="000000"/>
                <w:kern w:val="0"/>
                <w:szCs w:val="24"/>
              </w:rPr>
              <w:t>Industrial Goods &amp; Services</w:t>
            </w:r>
          </w:p>
        </w:tc>
      </w:tr>
      <w:tr w:rsidR="00D74EA9" w:rsidRPr="004376E3" w:rsidTr="00D74EA9">
        <w:trPr>
          <w:jc w:val="center"/>
        </w:trPr>
        <w:tc>
          <w:tcPr>
            <w:tcW w:w="0" w:type="auto"/>
            <w:noWrap/>
            <w:hideMark/>
          </w:tcPr>
          <w:p w:rsidR="00D74EA9" w:rsidRPr="004376E3" w:rsidRDefault="00D74EA9" w:rsidP="00D74EA9">
            <w:pPr>
              <w:widowControl/>
              <w:snapToGrid w:val="0"/>
              <w:spacing w:beforeLines="50" w:before="180" w:line="300" w:lineRule="auto"/>
              <w:rPr>
                <w:rFonts w:ascii="Arial" w:eastAsia="Times New Roman" w:hAnsi="Arial" w:cs="Arial"/>
                <w:color w:val="000000"/>
                <w:kern w:val="0"/>
                <w:szCs w:val="24"/>
              </w:rPr>
            </w:pPr>
            <w:r w:rsidRPr="004376E3">
              <w:rPr>
                <w:rFonts w:ascii="Arial" w:eastAsia="Times New Roman" w:hAnsi="Arial" w:cs="Arial"/>
                <w:color w:val="000000"/>
                <w:kern w:val="0"/>
                <w:szCs w:val="24"/>
              </w:rPr>
              <w:t>Swiss Re AG</w:t>
            </w:r>
          </w:p>
        </w:tc>
        <w:tc>
          <w:tcPr>
            <w:tcW w:w="0" w:type="auto"/>
            <w:noWrap/>
            <w:hideMark/>
          </w:tcPr>
          <w:p w:rsidR="00D74EA9" w:rsidRPr="004376E3" w:rsidRDefault="00D74EA9" w:rsidP="00D74EA9">
            <w:pPr>
              <w:widowControl/>
              <w:snapToGrid w:val="0"/>
              <w:spacing w:beforeLines="50" w:before="180" w:line="300" w:lineRule="auto"/>
              <w:rPr>
                <w:rFonts w:ascii="Arial" w:eastAsia="Times New Roman" w:hAnsi="Arial" w:cs="Arial"/>
                <w:color w:val="000000"/>
                <w:kern w:val="0"/>
                <w:szCs w:val="24"/>
              </w:rPr>
            </w:pPr>
            <w:r w:rsidRPr="004376E3">
              <w:rPr>
                <w:rFonts w:ascii="Arial" w:eastAsia="Times New Roman" w:hAnsi="Arial" w:cs="Arial"/>
                <w:color w:val="000000"/>
                <w:kern w:val="0"/>
                <w:szCs w:val="24"/>
              </w:rPr>
              <w:t>Insurance</w:t>
            </w:r>
          </w:p>
        </w:tc>
      </w:tr>
      <w:tr w:rsidR="00D74EA9" w:rsidRPr="004376E3" w:rsidTr="00D74EA9">
        <w:trPr>
          <w:jc w:val="center"/>
        </w:trPr>
        <w:tc>
          <w:tcPr>
            <w:tcW w:w="0" w:type="auto"/>
            <w:noWrap/>
            <w:hideMark/>
          </w:tcPr>
          <w:p w:rsidR="00D74EA9" w:rsidRPr="004376E3" w:rsidRDefault="00D74EA9" w:rsidP="00D74EA9">
            <w:pPr>
              <w:widowControl/>
              <w:snapToGrid w:val="0"/>
              <w:spacing w:beforeLines="50" w:before="180" w:line="300" w:lineRule="auto"/>
              <w:rPr>
                <w:rFonts w:ascii="Arial" w:eastAsia="Times New Roman" w:hAnsi="Arial" w:cs="Arial"/>
                <w:color w:val="000000"/>
                <w:kern w:val="0"/>
                <w:szCs w:val="24"/>
              </w:rPr>
            </w:pPr>
            <w:proofErr w:type="spellStart"/>
            <w:r w:rsidRPr="004376E3">
              <w:rPr>
                <w:rFonts w:ascii="Arial" w:eastAsia="Times New Roman" w:hAnsi="Arial" w:cs="Arial"/>
                <w:color w:val="000000"/>
                <w:kern w:val="0"/>
                <w:szCs w:val="24"/>
              </w:rPr>
              <w:t>Telenet</w:t>
            </w:r>
            <w:proofErr w:type="spellEnd"/>
            <w:r w:rsidRPr="004376E3">
              <w:rPr>
                <w:rFonts w:ascii="Arial" w:eastAsia="Times New Roman" w:hAnsi="Arial" w:cs="Arial"/>
                <w:color w:val="000000"/>
                <w:kern w:val="0"/>
                <w:szCs w:val="24"/>
              </w:rPr>
              <w:t xml:space="preserve"> Group Holding NV</w:t>
            </w:r>
          </w:p>
        </w:tc>
        <w:tc>
          <w:tcPr>
            <w:tcW w:w="0" w:type="auto"/>
            <w:noWrap/>
            <w:hideMark/>
          </w:tcPr>
          <w:p w:rsidR="00D74EA9" w:rsidRPr="004376E3" w:rsidRDefault="00D74EA9" w:rsidP="00D74EA9">
            <w:pPr>
              <w:widowControl/>
              <w:snapToGrid w:val="0"/>
              <w:spacing w:beforeLines="50" w:before="180" w:line="300" w:lineRule="auto"/>
              <w:rPr>
                <w:rFonts w:ascii="Arial" w:eastAsia="Times New Roman" w:hAnsi="Arial" w:cs="Arial"/>
                <w:color w:val="000000"/>
                <w:kern w:val="0"/>
                <w:szCs w:val="24"/>
              </w:rPr>
            </w:pPr>
            <w:r w:rsidRPr="004376E3">
              <w:rPr>
                <w:rFonts w:ascii="Arial" w:eastAsia="Times New Roman" w:hAnsi="Arial" w:cs="Arial"/>
                <w:color w:val="000000"/>
                <w:kern w:val="0"/>
                <w:szCs w:val="24"/>
              </w:rPr>
              <w:t>Media</w:t>
            </w:r>
          </w:p>
        </w:tc>
      </w:tr>
      <w:tr w:rsidR="00D74EA9" w:rsidRPr="004376E3" w:rsidTr="00D74EA9">
        <w:trPr>
          <w:jc w:val="center"/>
        </w:trPr>
        <w:tc>
          <w:tcPr>
            <w:tcW w:w="0" w:type="auto"/>
            <w:noWrap/>
            <w:hideMark/>
          </w:tcPr>
          <w:p w:rsidR="00D74EA9" w:rsidRPr="004376E3" w:rsidRDefault="00D74EA9" w:rsidP="00D74EA9">
            <w:pPr>
              <w:widowControl/>
              <w:snapToGrid w:val="0"/>
              <w:spacing w:beforeLines="50" w:before="180" w:line="300" w:lineRule="auto"/>
              <w:rPr>
                <w:rFonts w:ascii="Arial" w:eastAsia="Times New Roman" w:hAnsi="Arial" w:cs="Arial"/>
                <w:color w:val="000000"/>
                <w:kern w:val="0"/>
                <w:szCs w:val="24"/>
              </w:rPr>
            </w:pPr>
            <w:proofErr w:type="spellStart"/>
            <w:r w:rsidRPr="004376E3">
              <w:rPr>
                <w:rFonts w:ascii="Arial" w:eastAsia="Times New Roman" w:hAnsi="Arial" w:cs="Arial"/>
                <w:color w:val="000000"/>
                <w:kern w:val="0"/>
                <w:szCs w:val="24"/>
              </w:rPr>
              <w:t>Repsol</w:t>
            </w:r>
            <w:proofErr w:type="spellEnd"/>
            <w:r w:rsidRPr="004376E3">
              <w:rPr>
                <w:rFonts w:ascii="Arial" w:eastAsia="Times New Roman" w:hAnsi="Arial" w:cs="Arial"/>
                <w:color w:val="000000"/>
                <w:kern w:val="0"/>
                <w:szCs w:val="24"/>
              </w:rPr>
              <w:t xml:space="preserve"> SA</w:t>
            </w:r>
          </w:p>
        </w:tc>
        <w:tc>
          <w:tcPr>
            <w:tcW w:w="0" w:type="auto"/>
            <w:noWrap/>
            <w:hideMark/>
          </w:tcPr>
          <w:p w:rsidR="00D74EA9" w:rsidRPr="004376E3" w:rsidRDefault="00D74EA9" w:rsidP="00D74EA9">
            <w:pPr>
              <w:widowControl/>
              <w:snapToGrid w:val="0"/>
              <w:spacing w:beforeLines="50" w:before="180" w:line="300" w:lineRule="auto"/>
              <w:rPr>
                <w:rFonts w:ascii="Arial" w:eastAsia="Times New Roman" w:hAnsi="Arial" w:cs="Arial"/>
                <w:color w:val="000000"/>
                <w:kern w:val="0"/>
                <w:szCs w:val="24"/>
              </w:rPr>
            </w:pPr>
            <w:r w:rsidRPr="004376E3">
              <w:rPr>
                <w:rFonts w:ascii="Arial" w:eastAsia="Times New Roman" w:hAnsi="Arial" w:cs="Arial"/>
                <w:color w:val="000000"/>
                <w:kern w:val="0"/>
                <w:szCs w:val="24"/>
              </w:rPr>
              <w:t>Oil &amp; Gas</w:t>
            </w:r>
          </w:p>
        </w:tc>
      </w:tr>
      <w:tr w:rsidR="00D74EA9" w:rsidRPr="004376E3" w:rsidTr="00D74EA9">
        <w:trPr>
          <w:jc w:val="center"/>
        </w:trPr>
        <w:tc>
          <w:tcPr>
            <w:tcW w:w="0" w:type="auto"/>
            <w:noWrap/>
            <w:hideMark/>
          </w:tcPr>
          <w:p w:rsidR="00D74EA9" w:rsidRPr="004376E3" w:rsidRDefault="00D74EA9" w:rsidP="00D74EA9">
            <w:pPr>
              <w:widowControl/>
              <w:snapToGrid w:val="0"/>
              <w:spacing w:beforeLines="50" w:before="180" w:line="300" w:lineRule="auto"/>
              <w:rPr>
                <w:rFonts w:ascii="Arial" w:eastAsia="Times New Roman" w:hAnsi="Arial" w:cs="Arial"/>
                <w:color w:val="000000"/>
                <w:kern w:val="0"/>
                <w:szCs w:val="24"/>
              </w:rPr>
            </w:pPr>
            <w:proofErr w:type="spellStart"/>
            <w:r w:rsidRPr="004376E3">
              <w:rPr>
                <w:rFonts w:ascii="Arial" w:eastAsia="Times New Roman" w:hAnsi="Arial" w:cs="Arial"/>
                <w:color w:val="000000"/>
                <w:kern w:val="0"/>
                <w:szCs w:val="24"/>
              </w:rPr>
              <w:t>Koninklijke</w:t>
            </w:r>
            <w:proofErr w:type="spellEnd"/>
            <w:r w:rsidRPr="004376E3">
              <w:rPr>
                <w:rFonts w:ascii="Arial" w:eastAsia="Times New Roman" w:hAnsi="Arial" w:cs="Arial"/>
                <w:color w:val="000000"/>
                <w:kern w:val="0"/>
                <w:szCs w:val="24"/>
              </w:rPr>
              <w:t xml:space="preserve"> Philips Electronics NV</w:t>
            </w:r>
          </w:p>
        </w:tc>
        <w:tc>
          <w:tcPr>
            <w:tcW w:w="0" w:type="auto"/>
            <w:noWrap/>
            <w:hideMark/>
          </w:tcPr>
          <w:p w:rsidR="00D74EA9" w:rsidRPr="004376E3" w:rsidRDefault="00D74EA9" w:rsidP="00D74EA9">
            <w:pPr>
              <w:widowControl/>
              <w:snapToGrid w:val="0"/>
              <w:spacing w:beforeLines="50" w:before="180" w:line="300" w:lineRule="auto"/>
              <w:rPr>
                <w:rFonts w:ascii="Arial" w:eastAsia="Times New Roman" w:hAnsi="Arial" w:cs="Arial"/>
                <w:color w:val="000000"/>
                <w:kern w:val="0"/>
                <w:szCs w:val="24"/>
              </w:rPr>
            </w:pPr>
            <w:r w:rsidRPr="004376E3">
              <w:rPr>
                <w:rFonts w:ascii="Arial" w:eastAsia="Times New Roman" w:hAnsi="Arial" w:cs="Arial"/>
                <w:color w:val="000000"/>
                <w:kern w:val="0"/>
                <w:szCs w:val="24"/>
              </w:rPr>
              <w:t>Personal &amp; Household Goods</w:t>
            </w:r>
          </w:p>
        </w:tc>
      </w:tr>
      <w:tr w:rsidR="00D74EA9" w:rsidRPr="004376E3" w:rsidTr="00D74EA9">
        <w:trPr>
          <w:jc w:val="center"/>
        </w:trPr>
        <w:tc>
          <w:tcPr>
            <w:tcW w:w="0" w:type="auto"/>
            <w:noWrap/>
            <w:hideMark/>
          </w:tcPr>
          <w:p w:rsidR="00D74EA9" w:rsidRPr="004376E3" w:rsidRDefault="00D74EA9" w:rsidP="00D74EA9">
            <w:pPr>
              <w:widowControl/>
              <w:snapToGrid w:val="0"/>
              <w:spacing w:beforeLines="50" w:before="180" w:line="300" w:lineRule="auto"/>
              <w:rPr>
                <w:rFonts w:ascii="Arial" w:eastAsia="Times New Roman" w:hAnsi="Arial" w:cs="Arial"/>
                <w:color w:val="000000"/>
                <w:kern w:val="0"/>
                <w:szCs w:val="24"/>
              </w:rPr>
            </w:pPr>
            <w:r w:rsidRPr="004376E3">
              <w:rPr>
                <w:rFonts w:ascii="Arial" w:eastAsia="Times New Roman" w:hAnsi="Arial" w:cs="Arial"/>
                <w:color w:val="000000"/>
                <w:kern w:val="0"/>
                <w:szCs w:val="24"/>
              </w:rPr>
              <w:t>GPT Group</w:t>
            </w:r>
          </w:p>
        </w:tc>
        <w:tc>
          <w:tcPr>
            <w:tcW w:w="0" w:type="auto"/>
            <w:noWrap/>
            <w:hideMark/>
          </w:tcPr>
          <w:p w:rsidR="00D74EA9" w:rsidRPr="004376E3" w:rsidRDefault="00D74EA9" w:rsidP="00D74EA9">
            <w:pPr>
              <w:widowControl/>
              <w:snapToGrid w:val="0"/>
              <w:spacing w:beforeLines="50" w:before="180" w:line="300" w:lineRule="auto"/>
              <w:rPr>
                <w:rFonts w:ascii="Arial" w:eastAsia="Times New Roman" w:hAnsi="Arial" w:cs="Arial"/>
                <w:color w:val="000000"/>
                <w:kern w:val="0"/>
                <w:szCs w:val="24"/>
              </w:rPr>
            </w:pPr>
            <w:r w:rsidRPr="004376E3">
              <w:rPr>
                <w:rFonts w:ascii="Arial" w:eastAsia="Times New Roman" w:hAnsi="Arial" w:cs="Arial"/>
                <w:color w:val="000000"/>
                <w:kern w:val="0"/>
                <w:szCs w:val="24"/>
              </w:rPr>
              <w:t>Real Estate</w:t>
            </w:r>
          </w:p>
        </w:tc>
      </w:tr>
      <w:tr w:rsidR="00D74EA9" w:rsidRPr="004376E3" w:rsidTr="00D74EA9">
        <w:trPr>
          <w:jc w:val="center"/>
        </w:trPr>
        <w:tc>
          <w:tcPr>
            <w:tcW w:w="0" w:type="auto"/>
            <w:noWrap/>
            <w:hideMark/>
          </w:tcPr>
          <w:p w:rsidR="00D74EA9" w:rsidRPr="004376E3" w:rsidRDefault="00D74EA9" w:rsidP="00D74EA9">
            <w:pPr>
              <w:widowControl/>
              <w:snapToGrid w:val="0"/>
              <w:spacing w:beforeLines="50" w:before="180" w:line="300" w:lineRule="auto"/>
              <w:rPr>
                <w:rFonts w:ascii="Arial" w:eastAsia="Times New Roman" w:hAnsi="Arial" w:cs="Arial"/>
                <w:color w:val="000000"/>
                <w:kern w:val="0"/>
                <w:szCs w:val="24"/>
              </w:rPr>
            </w:pPr>
            <w:proofErr w:type="spellStart"/>
            <w:r w:rsidRPr="004376E3">
              <w:rPr>
                <w:rFonts w:ascii="Arial" w:eastAsia="Times New Roman" w:hAnsi="Arial" w:cs="Arial"/>
                <w:color w:val="000000"/>
                <w:kern w:val="0"/>
                <w:szCs w:val="24"/>
              </w:rPr>
              <w:t>Lotte</w:t>
            </w:r>
            <w:proofErr w:type="spellEnd"/>
            <w:r w:rsidRPr="004376E3">
              <w:rPr>
                <w:rFonts w:ascii="Arial" w:eastAsia="Times New Roman" w:hAnsi="Arial" w:cs="Arial"/>
                <w:color w:val="000000"/>
                <w:kern w:val="0"/>
                <w:szCs w:val="24"/>
              </w:rPr>
              <w:t xml:space="preserve"> Shopping Co Ltd</w:t>
            </w:r>
          </w:p>
        </w:tc>
        <w:tc>
          <w:tcPr>
            <w:tcW w:w="0" w:type="auto"/>
            <w:noWrap/>
            <w:hideMark/>
          </w:tcPr>
          <w:p w:rsidR="00D74EA9" w:rsidRPr="004376E3" w:rsidRDefault="00D74EA9" w:rsidP="00D74EA9">
            <w:pPr>
              <w:widowControl/>
              <w:snapToGrid w:val="0"/>
              <w:spacing w:beforeLines="50" w:before="180" w:line="300" w:lineRule="auto"/>
              <w:rPr>
                <w:rFonts w:ascii="Arial" w:eastAsia="Times New Roman" w:hAnsi="Arial" w:cs="Arial"/>
                <w:color w:val="000000"/>
                <w:kern w:val="0"/>
                <w:szCs w:val="24"/>
              </w:rPr>
            </w:pPr>
            <w:r w:rsidRPr="004376E3">
              <w:rPr>
                <w:rFonts w:ascii="Arial" w:eastAsia="Times New Roman" w:hAnsi="Arial" w:cs="Arial"/>
                <w:color w:val="000000"/>
                <w:kern w:val="0"/>
                <w:szCs w:val="24"/>
              </w:rPr>
              <w:t>Retail</w:t>
            </w:r>
          </w:p>
        </w:tc>
      </w:tr>
      <w:tr w:rsidR="00D74EA9" w:rsidRPr="004376E3" w:rsidTr="00D74EA9">
        <w:trPr>
          <w:jc w:val="center"/>
        </w:trPr>
        <w:tc>
          <w:tcPr>
            <w:tcW w:w="0" w:type="auto"/>
            <w:noWrap/>
            <w:hideMark/>
          </w:tcPr>
          <w:p w:rsidR="00D74EA9" w:rsidRPr="004376E3" w:rsidRDefault="00D74EA9" w:rsidP="00D74EA9">
            <w:pPr>
              <w:widowControl/>
              <w:snapToGrid w:val="0"/>
              <w:spacing w:beforeLines="50" w:before="180" w:line="300" w:lineRule="auto"/>
              <w:rPr>
                <w:rFonts w:ascii="Arial" w:eastAsia="Times New Roman" w:hAnsi="Arial" w:cs="Arial"/>
                <w:color w:val="000000"/>
                <w:kern w:val="0"/>
                <w:szCs w:val="24"/>
              </w:rPr>
            </w:pPr>
            <w:r w:rsidRPr="004376E3">
              <w:rPr>
                <w:rFonts w:ascii="Arial" w:eastAsia="Times New Roman" w:hAnsi="Arial" w:cs="Arial"/>
                <w:color w:val="000000"/>
                <w:kern w:val="0"/>
                <w:szCs w:val="24"/>
              </w:rPr>
              <w:t>Alcatel-Lucent SA</w:t>
            </w:r>
          </w:p>
        </w:tc>
        <w:tc>
          <w:tcPr>
            <w:tcW w:w="0" w:type="auto"/>
            <w:noWrap/>
            <w:hideMark/>
          </w:tcPr>
          <w:p w:rsidR="00D74EA9" w:rsidRPr="004376E3" w:rsidRDefault="00D74EA9" w:rsidP="00D74EA9">
            <w:pPr>
              <w:widowControl/>
              <w:snapToGrid w:val="0"/>
              <w:spacing w:beforeLines="50" w:before="180" w:line="300" w:lineRule="auto"/>
              <w:rPr>
                <w:rFonts w:ascii="Arial" w:eastAsia="Times New Roman" w:hAnsi="Arial" w:cs="Arial"/>
                <w:color w:val="000000"/>
                <w:kern w:val="0"/>
                <w:szCs w:val="24"/>
              </w:rPr>
            </w:pPr>
            <w:r w:rsidRPr="004376E3">
              <w:rPr>
                <w:rFonts w:ascii="Arial" w:eastAsia="Times New Roman" w:hAnsi="Arial" w:cs="Arial"/>
                <w:color w:val="000000"/>
                <w:kern w:val="0"/>
                <w:szCs w:val="24"/>
              </w:rPr>
              <w:t>Technology</w:t>
            </w:r>
          </w:p>
        </w:tc>
      </w:tr>
      <w:tr w:rsidR="00D74EA9" w:rsidRPr="004376E3" w:rsidTr="00D74EA9">
        <w:trPr>
          <w:jc w:val="center"/>
        </w:trPr>
        <w:tc>
          <w:tcPr>
            <w:tcW w:w="0" w:type="auto"/>
            <w:noWrap/>
            <w:hideMark/>
          </w:tcPr>
          <w:p w:rsidR="00D74EA9" w:rsidRPr="004376E3" w:rsidRDefault="00D74EA9" w:rsidP="00D74EA9">
            <w:pPr>
              <w:widowControl/>
              <w:snapToGrid w:val="0"/>
              <w:spacing w:beforeLines="50" w:before="180" w:line="300" w:lineRule="auto"/>
              <w:rPr>
                <w:rFonts w:ascii="Arial" w:eastAsia="Times New Roman" w:hAnsi="Arial" w:cs="Arial"/>
                <w:color w:val="000000"/>
                <w:kern w:val="0"/>
                <w:szCs w:val="24"/>
              </w:rPr>
            </w:pPr>
            <w:r w:rsidRPr="004376E3">
              <w:rPr>
                <w:rFonts w:ascii="Arial" w:eastAsia="Times New Roman" w:hAnsi="Arial" w:cs="Arial"/>
                <w:color w:val="000000"/>
                <w:kern w:val="0"/>
                <w:szCs w:val="24"/>
              </w:rPr>
              <w:t>KT Corp</w:t>
            </w:r>
          </w:p>
        </w:tc>
        <w:tc>
          <w:tcPr>
            <w:tcW w:w="0" w:type="auto"/>
            <w:noWrap/>
            <w:hideMark/>
          </w:tcPr>
          <w:p w:rsidR="00D74EA9" w:rsidRPr="004376E3" w:rsidRDefault="00D74EA9" w:rsidP="00D74EA9">
            <w:pPr>
              <w:widowControl/>
              <w:snapToGrid w:val="0"/>
              <w:spacing w:beforeLines="50" w:before="180" w:line="300" w:lineRule="auto"/>
              <w:rPr>
                <w:rFonts w:ascii="Arial" w:eastAsia="Times New Roman" w:hAnsi="Arial" w:cs="Arial"/>
                <w:color w:val="000000"/>
                <w:kern w:val="0"/>
                <w:szCs w:val="24"/>
              </w:rPr>
            </w:pPr>
            <w:r w:rsidRPr="004376E3">
              <w:rPr>
                <w:rFonts w:ascii="Arial" w:eastAsia="Times New Roman" w:hAnsi="Arial" w:cs="Arial"/>
                <w:color w:val="000000"/>
                <w:kern w:val="0"/>
                <w:szCs w:val="24"/>
              </w:rPr>
              <w:t>Telecommunications</w:t>
            </w:r>
          </w:p>
        </w:tc>
      </w:tr>
      <w:tr w:rsidR="00D74EA9" w:rsidRPr="004376E3" w:rsidTr="00D74EA9">
        <w:trPr>
          <w:jc w:val="center"/>
        </w:trPr>
        <w:tc>
          <w:tcPr>
            <w:tcW w:w="0" w:type="auto"/>
            <w:noWrap/>
            <w:hideMark/>
          </w:tcPr>
          <w:p w:rsidR="00D74EA9" w:rsidRPr="004376E3" w:rsidRDefault="00D74EA9" w:rsidP="00D74EA9">
            <w:pPr>
              <w:widowControl/>
              <w:snapToGrid w:val="0"/>
              <w:spacing w:beforeLines="50" w:before="180" w:line="300" w:lineRule="auto"/>
              <w:rPr>
                <w:rFonts w:ascii="Arial" w:eastAsia="Times New Roman" w:hAnsi="Arial" w:cs="Arial"/>
                <w:color w:val="000000"/>
                <w:kern w:val="0"/>
                <w:szCs w:val="24"/>
              </w:rPr>
            </w:pPr>
            <w:r w:rsidRPr="004376E3">
              <w:rPr>
                <w:rFonts w:ascii="Arial" w:eastAsia="Times New Roman" w:hAnsi="Arial" w:cs="Arial"/>
                <w:color w:val="000000"/>
                <w:kern w:val="0"/>
                <w:szCs w:val="24"/>
              </w:rPr>
              <w:t>Air France-KLM</w:t>
            </w:r>
          </w:p>
        </w:tc>
        <w:tc>
          <w:tcPr>
            <w:tcW w:w="0" w:type="auto"/>
            <w:noWrap/>
            <w:hideMark/>
          </w:tcPr>
          <w:p w:rsidR="00D74EA9" w:rsidRPr="004376E3" w:rsidRDefault="00D74EA9" w:rsidP="00D74EA9">
            <w:pPr>
              <w:widowControl/>
              <w:snapToGrid w:val="0"/>
              <w:spacing w:beforeLines="50" w:before="180" w:line="300" w:lineRule="auto"/>
              <w:rPr>
                <w:rFonts w:ascii="Arial" w:eastAsia="Times New Roman" w:hAnsi="Arial" w:cs="Arial"/>
                <w:color w:val="000000"/>
                <w:kern w:val="0"/>
                <w:szCs w:val="24"/>
              </w:rPr>
            </w:pPr>
            <w:r w:rsidRPr="004376E3">
              <w:rPr>
                <w:rFonts w:ascii="Arial" w:eastAsia="Times New Roman" w:hAnsi="Arial" w:cs="Arial"/>
                <w:color w:val="000000"/>
                <w:kern w:val="0"/>
                <w:szCs w:val="24"/>
              </w:rPr>
              <w:t>Travel &amp; Leisure</w:t>
            </w:r>
          </w:p>
        </w:tc>
      </w:tr>
      <w:tr w:rsidR="00D74EA9" w:rsidRPr="004376E3" w:rsidTr="00D74EA9">
        <w:trPr>
          <w:jc w:val="center"/>
        </w:trPr>
        <w:tc>
          <w:tcPr>
            <w:tcW w:w="0" w:type="auto"/>
            <w:noWrap/>
            <w:hideMark/>
          </w:tcPr>
          <w:p w:rsidR="00D74EA9" w:rsidRPr="004376E3" w:rsidRDefault="00D74EA9" w:rsidP="00D74EA9">
            <w:pPr>
              <w:widowControl/>
              <w:snapToGrid w:val="0"/>
              <w:spacing w:beforeLines="50" w:before="180" w:line="300" w:lineRule="auto"/>
              <w:rPr>
                <w:rFonts w:ascii="Arial" w:eastAsia="Times New Roman" w:hAnsi="Arial" w:cs="Arial"/>
                <w:color w:val="000000"/>
                <w:kern w:val="0"/>
                <w:szCs w:val="24"/>
              </w:rPr>
            </w:pPr>
            <w:proofErr w:type="spellStart"/>
            <w:r w:rsidRPr="004376E3">
              <w:rPr>
                <w:rFonts w:ascii="Arial" w:eastAsia="Times New Roman" w:hAnsi="Arial" w:cs="Arial"/>
                <w:color w:val="000000"/>
                <w:kern w:val="0"/>
                <w:szCs w:val="24"/>
              </w:rPr>
              <w:lastRenderedPageBreak/>
              <w:t>Iberdrola</w:t>
            </w:r>
            <w:proofErr w:type="spellEnd"/>
            <w:r w:rsidRPr="004376E3">
              <w:rPr>
                <w:rFonts w:ascii="Arial" w:eastAsia="Times New Roman" w:hAnsi="Arial" w:cs="Arial"/>
                <w:color w:val="000000"/>
                <w:kern w:val="0"/>
                <w:szCs w:val="24"/>
              </w:rPr>
              <w:t xml:space="preserve"> SA</w:t>
            </w:r>
          </w:p>
        </w:tc>
        <w:tc>
          <w:tcPr>
            <w:tcW w:w="0" w:type="auto"/>
            <w:noWrap/>
            <w:hideMark/>
          </w:tcPr>
          <w:p w:rsidR="00D74EA9" w:rsidRPr="004376E3" w:rsidRDefault="00D74EA9" w:rsidP="00D74EA9">
            <w:pPr>
              <w:widowControl/>
              <w:snapToGrid w:val="0"/>
              <w:spacing w:beforeLines="50" w:before="180" w:line="300" w:lineRule="auto"/>
              <w:rPr>
                <w:rFonts w:ascii="Arial" w:eastAsia="Times New Roman" w:hAnsi="Arial" w:cs="Arial"/>
                <w:color w:val="000000"/>
                <w:kern w:val="0"/>
                <w:szCs w:val="24"/>
              </w:rPr>
            </w:pPr>
            <w:r w:rsidRPr="004376E3">
              <w:rPr>
                <w:rFonts w:ascii="Arial" w:eastAsia="Times New Roman" w:hAnsi="Arial" w:cs="Arial"/>
                <w:color w:val="000000"/>
                <w:kern w:val="0"/>
                <w:szCs w:val="24"/>
              </w:rPr>
              <w:t>Utilities</w:t>
            </w:r>
          </w:p>
        </w:tc>
      </w:tr>
    </w:tbl>
    <w:p w:rsidR="00D74EA9" w:rsidRDefault="00D74EA9" w:rsidP="00267662">
      <w:pPr>
        <w:widowControl/>
        <w:jc w:val="center"/>
        <w:rPr>
          <w:rFonts w:asciiTheme="majorEastAsia" w:eastAsiaTheme="majorEastAsia" w:hAnsiTheme="majorEastAsia" w:cs="新細明體" w:hint="eastAsia"/>
          <w:b/>
          <w:kern w:val="0"/>
          <w:sz w:val="28"/>
          <w:szCs w:val="28"/>
        </w:rPr>
      </w:pPr>
    </w:p>
    <w:p w:rsidR="00D74EA9" w:rsidRPr="00E654AC" w:rsidRDefault="00D74EA9" w:rsidP="00D74EA9">
      <w:pPr>
        <w:widowControl/>
        <w:rPr>
          <w:rFonts w:asciiTheme="majorEastAsia" w:eastAsiaTheme="majorEastAsia" w:hAnsiTheme="majorEastAsia" w:cs="新細明體"/>
          <w:b/>
          <w:kern w:val="0"/>
          <w:sz w:val="28"/>
          <w:szCs w:val="28"/>
        </w:rPr>
      </w:pPr>
      <w:r w:rsidRPr="00267662">
        <w:rPr>
          <w:rFonts w:asciiTheme="majorEastAsia" w:eastAsiaTheme="majorEastAsia" w:hAnsiTheme="majorEastAsia" w:cs="新細明體"/>
          <w:b/>
          <w:kern w:val="0"/>
          <w:sz w:val="28"/>
          <w:szCs w:val="28"/>
        </w:rPr>
        <w:t>APEC</w:t>
      </w:r>
      <w:r w:rsidRPr="00267662">
        <w:rPr>
          <w:rFonts w:asciiTheme="majorEastAsia" w:eastAsiaTheme="majorEastAsia" w:hAnsiTheme="majorEastAsia" w:cs="新細明體" w:hint="eastAsia"/>
          <w:b/>
          <w:kern w:val="0"/>
          <w:sz w:val="28"/>
          <w:szCs w:val="28"/>
        </w:rPr>
        <w:t>峰會：“環境產品清單”今年最大成果</w:t>
      </w:r>
      <w:r>
        <w:rPr>
          <w:rFonts w:asciiTheme="majorEastAsia" w:eastAsiaTheme="majorEastAsia" w:hAnsiTheme="majorEastAsia" w:cs="新細明體" w:hint="eastAsia"/>
          <w:b/>
          <w:kern w:val="0"/>
          <w:sz w:val="28"/>
          <w:szCs w:val="28"/>
        </w:rPr>
        <w:t>(The Nation, 2012/9/11)</w:t>
      </w:r>
    </w:p>
    <w:p w:rsidR="00D74EA9" w:rsidRPr="00F84DA6" w:rsidRDefault="00D74EA9" w:rsidP="00D74EA9">
      <w:pPr>
        <w:widowControl/>
        <w:snapToGrid w:val="0"/>
        <w:spacing w:beforeLines="50" w:before="180" w:line="300" w:lineRule="auto"/>
        <w:jc w:val="both"/>
        <w:rPr>
          <w:rFonts w:ascii="Times New Roman" w:hAnsi="Times New Roman" w:cs="Times New Roman"/>
          <w:color w:val="000000"/>
          <w:kern w:val="0"/>
          <w:szCs w:val="24"/>
        </w:rPr>
      </w:pPr>
      <w:hyperlink r:id="rId8" w:history="1">
        <w:r w:rsidRPr="00F84DA6">
          <w:rPr>
            <w:rStyle w:val="a3"/>
            <w:rFonts w:ascii="Times New Roman" w:hAnsi="Times New Roman" w:cs="Times New Roman"/>
            <w:kern w:val="0"/>
            <w:szCs w:val="24"/>
          </w:rPr>
          <w:t>http://www.nationmultimedia.com/busi</w:t>
        </w:r>
        <w:r w:rsidRPr="00F84DA6">
          <w:rPr>
            <w:rStyle w:val="a3"/>
            <w:rFonts w:ascii="Times New Roman" w:hAnsi="Times New Roman" w:cs="Times New Roman"/>
            <w:kern w:val="0"/>
            <w:szCs w:val="24"/>
          </w:rPr>
          <w:t>n</w:t>
        </w:r>
        <w:r w:rsidRPr="00F84DA6">
          <w:rPr>
            <w:rStyle w:val="a3"/>
            <w:rFonts w:ascii="Times New Roman" w:hAnsi="Times New Roman" w:cs="Times New Roman"/>
            <w:kern w:val="0"/>
            <w:szCs w:val="24"/>
          </w:rPr>
          <w:t>ess/Adoption-of-environmetal-goods-list-top-deal-at-Ap-30190151.html</w:t>
        </w:r>
      </w:hyperlink>
    </w:p>
    <w:p w:rsidR="00D74EA9" w:rsidRPr="00E654AC" w:rsidRDefault="00D74EA9" w:rsidP="00D74EA9">
      <w:pPr>
        <w:widowControl/>
        <w:snapToGrid w:val="0"/>
        <w:spacing w:beforeLines="50" w:before="180" w:line="300" w:lineRule="auto"/>
        <w:jc w:val="both"/>
        <w:rPr>
          <w:rFonts w:ascii="Times New Roman" w:hAnsi="Times New Roman" w:cs="Times New Roman"/>
          <w:color w:val="000000"/>
          <w:kern w:val="0"/>
          <w:szCs w:val="24"/>
        </w:rPr>
      </w:pPr>
      <w:r w:rsidRPr="00F84DA6">
        <w:rPr>
          <w:rFonts w:ascii="Times New Roman" w:hAnsi="Times New Roman" w:cs="Times New Roman"/>
          <w:color w:val="000000"/>
          <w:kern w:val="0"/>
          <w:szCs w:val="24"/>
        </w:rPr>
        <w:t>2012</w:t>
      </w:r>
      <w:r w:rsidRPr="00F84DA6">
        <w:rPr>
          <w:rFonts w:ascii="Times New Roman" w:hAnsi="Times New Roman" w:cs="Times New Roman"/>
          <w:color w:val="000000"/>
          <w:kern w:val="0"/>
          <w:szCs w:val="24"/>
        </w:rPr>
        <w:t>年亞太經合組織（</w:t>
      </w:r>
      <w:r w:rsidRPr="00F84DA6">
        <w:rPr>
          <w:rFonts w:ascii="Times New Roman" w:hAnsi="Times New Roman" w:cs="Times New Roman"/>
          <w:color w:val="000000"/>
          <w:kern w:val="0"/>
          <w:szCs w:val="24"/>
        </w:rPr>
        <w:t>APEC</w:t>
      </w:r>
      <w:r w:rsidRPr="00F84DA6">
        <w:rPr>
          <w:rFonts w:ascii="Times New Roman" w:hAnsi="Times New Roman" w:cs="Times New Roman"/>
          <w:color w:val="000000"/>
          <w:kern w:val="0"/>
          <w:szCs w:val="24"/>
        </w:rPr>
        <w:t>）非正式領導人會議</w:t>
      </w:r>
      <w:r w:rsidRPr="00F84DA6">
        <w:rPr>
          <w:rFonts w:ascii="Times New Roman" w:hAnsi="Times New Roman" w:cs="Times New Roman"/>
          <w:color w:val="000000"/>
          <w:kern w:val="0"/>
          <w:szCs w:val="24"/>
        </w:rPr>
        <w:t>9</w:t>
      </w:r>
      <w:r w:rsidRPr="00F84DA6">
        <w:rPr>
          <w:rFonts w:ascii="Times New Roman" w:hAnsi="Times New Roman" w:cs="Times New Roman"/>
          <w:color w:val="000000"/>
          <w:kern w:val="0"/>
          <w:szCs w:val="24"/>
        </w:rPr>
        <w:t>月</w:t>
      </w:r>
      <w:r w:rsidRPr="00F84DA6">
        <w:rPr>
          <w:rFonts w:ascii="Times New Roman" w:hAnsi="Times New Roman" w:cs="Times New Roman"/>
          <w:color w:val="000000"/>
          <w:kern w:val="0"/>
          <w:szCs w:val="24"/>
        </w:rPr>
        <w:t>9</w:t>
      </w:r>
      <w:r w:rsidRPr="00F84DA6">
        <w:rPr>
          <w:rFonts w:ascii="Times New Roman" w:hAnsi="Times New Roman" w:cs="Times New Roman"/>
          <w:color w:val="000000"/>
          <w:kern w:val="0"/>
          <w:szCs w:val="24"/>
        </w:rPr>
        <w:t>日在俄羅斯遠東海濱城市</w:t>
      </w:r>
      <w:proofErr w:type="gramStart"/>
      <w:r w:rsidRPr="00F84DA6">
        <w:rPr>
          <w:rFonts w:ascii="Times New Roman" w:hAnsi="Times New Roman" w:cs="Times New Roman"/>
          <w:color w:val="000000"/>
          <w:kern w:val="0"/>
          <w:szCs w:val="24"/>
        </w:rPr>
        <w:t>—</w:t>
      </w:r>
      <w:proofErr w:type="gramEnd"/>
      <w:r w:rsidRPr="00F84DA6">
        <w:rPr>
          <w:rFonts w:ascii="Times New Roman" w:hAnsi="Times New Roman" w:cs="Times New Roman"/>
          <w:color w:val="000000"/>
          <w:kern w:val="0"/>
          <w:szCs w:val="24"/>
        </w:rPr>
        <w:t>符拉迪沃斯托克閉幕。會後</w:t>
      </w:r>
      <w:r w:rsidRPr="00F84DA6">
        <w:rPr>
          <w:rFonts w:ascii="Times New Roman" w:hAnsi="Times New Roman" w:cs="Times New Roman"/>
          <w:color w:val="000000"/>
          <w:kern w:val="0"/>
          <w:szCs w:val="24"/>
        </w:rPr>
        <w:t>APEC</w:t>
      </w:r>
      <w:r w:rsidRPr="00F84DA6">
        <w:rPr>
          <w:rFonts w:ascii="Times New Roman" w:hAnsi="Times New Roman" w:cs="Times New Roman"/>
          <w:color w:val="000000"/>
          <w:kern w:val="0"/>
          <w:szCs w:val="24"/>
        </w:rPr>
        <w:t>成員領導人發表了共同宣言。各方普遍認為，在當前全球以及區域政治經濟局勢複雜多變的情況下，</w:t>
      </w:r>
      <w:r w:rsidRPr="00F84DA6">
        <w:rPr>
          <w:rFonts w:ascii="Times New Roman" w:hAnsi="Times New Roman" w:cs="Times New Roman"/>
          <w:color w:val="000000"/>
          <w:kern w:val="0"/>
          <w:szCs w:val="24"/>
        </w:rPr>
        <w:t>APEC</w:t>
      </w:r>
      <w:r w:rsidRPr="00F84DA6">
        <w:rPr>
          <w:rFonts w:ascii="Times New Roman" w:hAnsi="Times New Roman" w:cs="Times New Roman"/>
          <w:color w:val="000000"/>
          <w:kern w:val="0"/>
          <w:szCs w:val="24"/>
        </w:rPr>
        <w:t>各經濟體領導人、</w:t>
      </w:r>
      <w:r>
        <w:rPr>
          <w:rFonts w:ascii="Times New Roman" w:hAnsi="Times New Roman" w:cs="Times New Roman" w:hint="eastAsia"/>
          <w:color w:val="000000"/>
          <w:kern w:val="0"/>
          <w:szCs w:val="24"/>
        </w:rPr>
        <w:t>政府高級官員</w:t>
      </w:r>
      <w:r w:rsidRPr="00F84DA6">
        <w:rPr>
          <w:rFonts w:ascii="Times New Roman" w:hAnsi="Times New Roman" w:cs="Times New Roman"/>
          <w:color w:val="000000"/>
          <w:kern w:val="0"/>
          <w:szCs w:val="24"/>
        </w:rPr>
        <w:t>以及工商界代表能在本次峰會上達成多項重要共識，體現了</w:t>
      </w:r>
      <w:r w:rsidRPr="00F84DA6">
        <w:rPr>
          <w:rFonts w:ascii="Times New Roman" w:hAnsi="Times New Roman" w:cs="Times New Roman"/>
          <w:color w:val="000000"/>
          <w:kern w:val="0"/>
          <w:szCs w:val="24"/>
        </w:rPr>
        <w:t>APEC</w:t>
      </w:r>
      <w:r w:rsidRPr="00F84DA6">
        <w:rPr>
          <w:rFonts w:ascii="Times New Roman" w:hAnsi="Times New Roman" w:cs="Times New Roman"/>
          <w:color w:val="000000"/>
          <w:kern w:val="0"/>
          <w:szCs w:val="24"/>
        </w:rPr>
        <w:t>尊重不同成員之間的差異、尋求互利共贏的合作原則。</w:t>
      </w:r>
    </w:p>
    <w:p w:rsidR="00D74EA9" w:rsidRPr="00E654AC" w:rsidRDefault="00D74EA9" w:rsidP="00D74EA9">
      <w:pPr>
        <w:widowControl/>
        <w:snapToGrid w:val="0"/>
        <w:spacing w:beforeLines="50" w:before="180" w:line="300" w:lineRule="auto"/>
        <w:jc w:val="both"/>
        <w:rPr>
          <w:rFonts w:ascii="Times New Roman" w:hAnsi="Times New Roman" w:cs="Times New Roman"/>
          <w:color w:val="000000"/>
          <w:kern w:val="0"/>
          <w:szCs w:val="24"/>
        </w:rPr>
      </w:pPr>
      <w:r w:rsidRPr="00F84DA6">
        <w:rPr>
          <w:rFonts w:ascii="Times New Roman" w:hAnsi="Times New Roman" w:cs="Times New Roman"/>
          <w:color w:val="000000"/>
          <w:kern w:val="0"/>
          <w:szCs w:val="24"/>
        </w:rPr>
        <w:t>在</w:t>
      </w:r>
      <w:r w:rsidRPr="00F84DA6">
        <w:rPr>
          <w:rFonts w:ascii="Times New Roman" w:hAnsi="Times New Roman" w:cs="Times New Roman"/>
          <w:color w:val="000000"/>
          <w:kern w:val="0"/>
          <w:szCs w:val="24"/>
        </w:rPr>
        <w:t>9</w:t>
      </w:r>
      <w:r w:rsidRPr="00F84DA6">
        <w:rPr>
          <w:rFonts w:ascii="Times New Roman" w:hAnsi="Times New Roman" w:cs="Times New Roman"/>
          <w:color w:val="000000"/>
          <w:kern w:val="0"/>
          <w:szCs w:val="24"/>
        </w:rPr>
        <w:t>日結束的</w:t>
      </w:r>
      <w:r w:rsidRPr="00F84DA6">
        <w:rPr>
          <w:rFonts w:ascii="Times New Roman" w:hAnsi="Times New Roman" w:cs="Times New Roman"/>
          <w:color w:val="000000"/>
          <w:kern w:val="0"/>
          <w:szCs w:val="24"/>
        </w:rPr>
        <w:t>APEC</w:t>
      </w:r>
      <w:r w:rsidRPr="00F84DA6">
        <w:rPr>
          <w:rFonts w:ascii="Times New Roman" w:hAnsi="Times New Roman" w:cs="Times New Roman"/>
          <w:color w:val="000000"/>
          <w:kern w:val="0"/>
          <w:szCs w:val="24"/>
        </w:rPr>
        <w:t>領導人非正式會晤上，與會各經濟體領導人就貿易投資自由化、區域經濟一體化、加強糧食安全合作、建立可靠的供應鏈和推動創新增長合作等問題達成了多項共識。</w:t>
      </w:r>
      <w:r w:rsidRPr="00F84DA6">
        <w:rPr>
          <w:rFonts w:ascii="Times New Roman" w:hAnsi="Times New Roman" w:cs="Times New Roman"/>
          <w:color w:val="000000"/>
          <w:kern w:val="0"/>
          <w:szCs w:val="24"/>
        </w:rPr>
        <w:t>APEC</w:t>
      </w:r>
      <w:r w:rsidRPr="00F84DA6">
        <w:rPr>
          <w:rFonts w:ascii="Times New Roman" w:hAnsi="Times New Roman" w:cs="Times New Roman"/>
          <w:color w:val="000000"/>
          <w:kern w:val="0"/>
          <w:szCs w:val="24"/>
        </w:rPr>
        <w:t>各成員在宣言最後表示，在金融形勢不穩定的背景下，將繼續採取必要的具體措施減少不利影響，提高</w:t>
      </w:r>
      <w:r w:rsidRPr="00F84DA6">
        <w:rPr>
          <w:rFonts w:ascii="Times New Roman" w:hAnsi="Times New Roman" w:cs="Times New Roman"/>
          <w:color w:val="000000"/>
          <w:kern w:val="0"/>
          <w:szCs w:val="24"/>
        </w:rPr>
        <w:t>APEC</w:t>
      </w:r>
      <w:r w:rsidRPr="00F84DA6">
        <w:rPr>
          <w:rFonts w:ascii="Times New Roman" w:hAnsi="Times New Roman" w:cs="Times New Roman"/>
          <w:color w:val="000000"/>
          <w:kern w:val="0"/>
          <w:szCs w:val="24"/>
        </w:rPr>
        <w:t>各經濟體的穩定性，致力於把本地區發展推向新高峰。</w:t>
      </w:r>
    </w:p>
    <w:p w:rsidR="00D74EA9" w:rsidRPr="00E654AC" w:rsidRDefault="00D74EA9" w:rsidP="00D74EA9">
      <w:pPr>
        <w:widowControl/>
        <w:snapToGrid w:val="0"/>
        <w:spacing w:beforeLines="50" w:before="180" w:line="300" w:lineRule="auto"/>
        <w:jc w:val="both"/>
        <w:rPr>
          <w:rFonts w:ascii="Times New Roman" w:hAnsi="Times New Roman" w:cs="Times New Roman"/>
          <w:color w:val="000000"/>
          <w:kern w:val="0"/>
          <w:szCs w:val="24"/>
        </w:rPr>
      </w:pPr>
      <w:r w:rsidRPr="00F84DA6">
        <w:rPr>
          <w:rFonts w:ascii="Times New Roman" w:hAnsi="Times New Roman" w:cs="Times New Roman"/>
          <w:color w:val="000000"/>
          <w:kern w:val="0"/>
          <w:szCs w:val="24"/>
        </w:rPr>
        <w:t>本次會議東道國、俄羅斯總統普京在會議結束後的新聞發佈會上高度評價了此次會議的成果。他說：</w:t>
      </w:r>
      <w:r w:rsidRPr="00F84DA6">
        <w:rPr>
          <w:rFonts w:ascii="Times New Roman" w:hAnsi="Times New Roman" w:cs="Times New Roman"/>
          <w:color w:val="000000"/>
          <w:kern w:val="0"/>
          <w:szCs w:val="24"/>
        </w:rPr>
        <w:t>“</w:t>
      </w:r>
      <w:r w:rsidRPr="00F84DA6">
        <w:rPr>
          <w:rFonts w:ascii="Times New Roman" w:hAnsi="Times New Roman" w:cs="Times New Roman"/>
          <w:color w:val="000000"/>
          <w:kern w:val="0"/>
          <w:szCs w:val="24"/>
        </w:rPr>
        <w:t>我們認為，在符拉迪沃斯托克峰會上我們完成了所有預定目標。</w:t>
      </w:r>
      <w:r w:rsidRPr="00F84DA6">
        <w:rPr>
          <w:rFonts w:ascii="Times New Roman" w:hAnsi="Times New Roman" w:cs="Times New Roman"/>
          <w:color w:val="000000"/>
          <w:kern w:val="0"/>
          <w:szCs w:val="24"/>
        </w:rPr>
        <w:t>APEC</w:t>
      </w:r>
      <w:r w:rsidRPr="00F84DA6">
        <w:rPr>
          <w:rFonts w:ascii="Times New Roman" w:hAnsi="Times New Roman" w:cs="Times New Roman"/>
          <w:color w:val="000000"/>
          <w:kern w:val="0"/>
          <w:szCs w:val="24"/>
        </w:rPr>
        <w:t>的行動方向不僅得到了延續，而且我們還拓展了視野，我們向工商界傳遞出了積極的信號。這些天以來，我們更加確信，</w:t>
      </w:r>
      <w:r w:rsidRPr="00F84DA6">
        <w:rPr>
          <w:rFonts w:ascii="Times New Roman" w:hAnsi="Times New Roman" w:cs="Times New Roman"/>
          <w:color w:val="000000"/>
          <w:kern w:val="0"/>
          <w:szCs w:val="24"/>
        </w:rPr>
        <w:t>APEC</w:t>
      </w:r>
      <w:r w:rsidRPr="00F84DA6">
        <w:rPr>
          <w:rFonts w:ascii="Times New Roman" w:hAnsi="Times New Roman" w:cs="Times New Roman"/>
          <w:color w:val="000000"/>
          <w:kern w:val="0"/>
          <w:szCs w:val="24"/>
        </w:rPr>
        <w:t>峰會是一個增進交流、共同尋找應對挑戰辦法的有效平</w:t>
      </w:r>
      <w:proofErr w:type="gramStart"/>
      <w:r w:rsidRPr="00F84DA6">
        <w:rPr>
          <w:rFonts w:ascii="Times New Roman" w:hAnsi="Times New Roman" w:cs="Times New Roman"/>
          <w:color w:val="000000"/>
          <w:kern w:val="0"/>
          <w:szCs w:val="24"/>
        </w:rPr>
        <w:t>臺</w:t>
      </w:r>
      <w:proofErr w:type="gramEnd"/>
      <w:r w:rsidRPr="00F84DA6">
        <w:rPr>
          <w:rFonts w:ascii="Times New Roman" w:hAnsi="Times New Roman" w:cs="Times New Roman"/>
          <w:color w:val="000000"/>
          <w:kern w:val="0"/>
          <w:szCs w:val="24"/>
        </w:rPr>
        <w:t>。我對這些天的工作感到非常滿意。</w:t>
      </w:r>
      <w:r w:rsidRPr="00F84DA6">
        <w:rPr>
          <w:rFonts w:ascii="Times New Roman" w:hAnsi="Times New Roman" w:cs="Times New Roman"/>
          <w:color w:val="000000"/>
          <w:kern w:val="0"/>
          <w:szCs w:val="24"/>
        </w:rPr>
        <w:t>”</w:t>
      </w:r>
    </w:p>
    <w:p w:rsidR="00D74EA9" w:rsidRPr="00E654AC" w:rsidRDefault="00D74EA9" w:rsidP="00D74EA9">
      <w:pPr>
        <w:widowControl/>
        <w:snapToGrid w:val="0"/>
        <w:spacing w:beforeLines="50" w:before="180" w:line="300" w:lineRule="auto"/>
        <w:jc w:val="both"/>
        <w:rPr>
          <w:rFonts w:ascii="Times New Roman" w:hAnsi="Times New Roman" w:cs="Times New Roman"/>
          <w:color w:val="000000"/>
          <w:kern w:val="0"/>
          <w:szCs w:val="24"/>
        </w:rPr>
      </w:pPr>
      <w:r w:rsidRPr="00F84DA6">
        <w:rPr>
          <w:rFonts w:ascii="Times New Roman" w:hAnsi="Times New Roman" w:cs="Times New Roman"/>
          <w:color w:val="000000"/>
          <w:kern w:val="0"/>
          <w:szCs w:val="24"/>
        </w:rPr>
        <w:t>中國外交部國際司司長陳旭表示，本次</w:t>
      </w:r>
      <w:r w:rsidRPr="00F84DA6">
        <w:rPr>
          <w:rFonts w:ascii="Times New Roman" w:hAnsi="Times New Roman" w:cs="Times New Roman"/>
          <w:color w:val="000000"/>
          <w:kern w:val="0"/>
          <w:szCs w:val="24"/>
        </w:rPr>
        <w:t>APEC</w:t>
      </w:r>
      <w:r w:rsidRPr="00F84DA6">
        <w:rPr>
          <w:rFonts w:ascii="Times New Roman" w:hAnsi="Times New Roman" w:cs="Times New Roman"/>
          <w:color w:val="000000"/>
          <w:kern w:val="0"/>
          <w:szCs w:val="24"/>
        </w:rPr>
        <w:t>峰會除了在</w:t>
      </w:r>
      <w:r w:rsidRPr="00F84DA6">
        <w:rPr>
          <w:rFonts w:ascii="Times New Roman" w:hAnsi="Times New Roman" w:cs="Times New Roman"/>
          <w:color w:val="000000"/>
          <w:kern w:val="0"/>
          <w:szCs w:val="24"/>
        </w:rPr>
        <w:t>4</w:t>
      </w:r>
      <w:r w:rsidRPr="00F84DA6">
        <w:rPr>
          <w:rFonts w:ascii="Times New Roman" w:hAnsi="Times New Roman" w:cs="Times New Roman"/>
          <w:color w:val="000000"/>
          <w:kern w:val="0"/>
          <w:szCs w:val="24"/>
        </w:rPr>
        <w:t>個主要議題上取得了豐碩成果外，峰會各項會議的進程更是豐富和發展了</w:t>
      </w:r>
      <w:r w:rsidRPr="00F84DA6">
        <w:rPr>
          <w:rFonts w:ascii="Times New Roman" w:hAnsi="Times New Roman" w:cs="Times New Roman"/>
          <w:color w:val="000000"/>
          <w:kern w:val="0"/>
          <w:szCs w:val="24"/>
        </w:rPr>
        <w:t>APEC</w:t>
      </w:r>
      <w:r w:rsidRPr="00F84DA6">
        <w:rPr>
          <w:rFonts w:ascii="Times New Roman" w:hAnsi="Times New Roman" w:cs="Times New Roman"/>
          <w:color w:val="000000"/>
          <w:kern w:val="0"/>
          <w:szCs w:val="24"/>
        </w:rPr>
        <w:t>合作的理念。他指出：</w:t>
      </w:r>
      <w:r w:rsidRPr="00F84DA6">
        <w:rPr>
          <w:rFonts w:ascii="Times New Roman" w:hAnsi="Times New Roman" w:cs="Times New Roman"/>
          <w:color w:val="000000"/>
          <w:kern w:val="0"/>
          <w:szCs w:val="24"/>
        </w:rPr>
        <w:t>“20</w:t>
      </w:r>
      <w:r w:rsidRPr="00F84DA6">
        <w:rPr>
          <w:rFonts w:ascii="Times New Roman" w:hAnsi="Times New Roman" w:cs="Times New Roman"/>
          <w:color w:val="000000"/>
          <w:kern w:val="0"/>
          <w:szCs w:val="24"/>
        </w:rPr>
        <w:t>多年以來，</w:t>
      </w:r>
      <w:r w:rsidRPr="00F84DA6">
        <w:rPr>
          <w:rFonts w:ascii="Times New Roman" w:hAnsi="Times New Roman" w:cs="Times New Roman"/>
          <w:color w:val="000000"/>
          <w:kern w:val="0"/>
          <w:szCs w:val="24"/>
        </w:rPr>
        <w:t>APEC</w:t>
      </w:r>
      <w:r w:rsidRPr="00F84DA6">
        <w:rPr>
          <w:rFonts w:ascii="Times New Roman" w:hAnsi="Times New Roman" w:cs="Times New Roman"/>
          <w:color w:val="000000"/>
          <w:kern w:val="0"/>
          <w:szCs w:val="24"/>
        </w:rPr>
        <w:t>求同存異、開放包容的理念得到進一步的發展。</w:t>
      </w:r>
      <w:r w:rsidRPr="00F84DA6">
        <w:rPr>
          <w:rFonts w:ascii="Times New Roman" w:hAnsi="Times New Roman" w:cs="Times New Roman"/>
          <w:color w:val="000000"/>
          <w:kern w:val="0"/>
          <w:szCs w:val="24"/>
        </w:rPr>
        <w:t>APEC</w:t>
      </w:r>
      <w:r w:rsidRPr="00F84DA6">
        <w:rPr>
          <w:rFonts w:ascii="Times New Roman" w:hAnsi="Times New Roman" w:cs="Times New Roman"/>
          <w:color w:val="000000"/>
          <w:kern w:val="0"/>
          <w:szCs w:val="24"/>
        </w:rPr>
        <w:t>這種靈活務實、協商一致的方式也得到大家的認可。</w:t>
      </w:r>
      <w:r w:rsidRPr="00F84DA6">
        <w:rPr>
          <w:rFonts w:ascii="Times New Roman" w:hAnsi="Times New Roman" w:cs="Times New Roman"/>
          <w:color w:val="000000"/>
          <w:kern w:val="0"/>
          <w:szCs w:val="24"/>
        </w:rPr>
        <w:t>APEC</w:t>
      </w:r>
      <w:r w:rsidRPr="00F84DA6">
        <w:rPr>
          <w:rFonts w:ascii="Times New Roman" w:hAnsi="Times New Roman" w:cs="Times New Roman"/>
          <w:color w:val="000000"/>
          <w:kern w:val="0"/>
          <w:szCs w:val="24"/>
        </w:rPr>
        <w:t>還有一個尊重不同成員之間的差異、尋求互利共贏的這樣一個合作原則已得到大家進一步的肯定。這個過程當中《環境產品清單》的整個談判過程就體現了這種精神。</w:t>
      </w:r>
      <w:r w:rsidRPr="00F84DA6">
        <w:rPr>
          <w:rFonts w:ascii="Times New Roman" w:hAnsi="Times New Roman" w:cs="Times New Roman"/>
          <w:color w:val="000000"/>
          <w:kern w:val="0"/>
          <w:szCs w:val="24"/>
        </w:rPr>
        <w:t>”</w:t>
      </w:r>
    </w:p>
    <w:p w:rsidR="00D74EA9" w:rsidRPr="00E654AC" w:rsidRDefault="00D74EA9" w:rsidP="00D74EA9">
      <w:pPr>
        <w:widowControl/>
        <w:snapToGrid w:val="0"/>
        <w:spacing w:beforeLines="50" w:before="180" w:line="300" w:lineRule="auto"/>
        <w:jc w:val="both"/>
        <w:rPr>
          <w:rFonts w:ascii="Times New Roman" w:hAnsi="Times New Roman" w:cs="Times New Roman"/>
          <w:color w:val="000000"/>
          <w:kern w:val="0"/>
          <w:szCs w:val="24"/>
        </w:rPr>
      </w:pPr>
      <w:r w:rsidRPr="00F84DA6">
        <w:rPr>
          <w:rFonts w:ascii="Times New Roman" w:hAnsi="Times New Roman" w:cs="Times New Roman"/>
          <w:color w:val="000000"/>
          <w:kern w:val="0"/>
          <w:szCs w:val="24"/>
        </w:rPr>
        <w:t>《環境產品清單》在本次峰會上獲得通過，這被認為是今年</w:t>
      </w:r>
      <w:r w:rsidRPr="00F84DA6">
        <w:rPr>
          <w:rFonts w:ascii="Times New Roman" w:hAnsi="Times New Roman" w:cs="Times New Roman"/>
          <w:color w:val="000000"/>
          <w:kern w:val="0"/>
          <w:szCs w:val="24"/>
        </w:rPr>
        <w:t>APEC</w:t>
      </w:r>
      <w:r w:rsidRPr="00F84DA6">
        <w:rPr>
          <w:rFonts w:ascii="Times New Roman" w:hAnsi="Times New Roman" w:cs="Times New Roman"/>
          <w:color w:val="000000"/>
          <w:kern w:val="0"/>
          <w:szCs w:val="24"/>
        </w:rPr>
        <w:t>峰會的最大成果。這份清單上列出了包括環境監測、垃圾焚燒、空氣水源品質控制等在內的</w:t>
      </w:r>
      <w:r w:rsidRPr="00F84DA6">
        <w:rPr>
          <w:rFonts w:ascii="Times New Roman" w:hAnsi="Times New Roman" w:cs="Times New Roman"/>
          <w:color w:val="000000"/>
          <w:kern w:val="0"/>
          <w:szCs w:val="24"/>
        </w:rPr>
        <w:t>54</w:t>
      </w:r>
      <w:r w:rsidRPr="00F84DA6">
        <w:rPr>
          <w:rFonts w:ascii="Times New Roman" w:hAnsi="Times New Roman" w:cs="Times New Roman"/>
          <w:color w:val="000000"/>
          <w:kern w:val="0"/>
          <w:szCs w:val="24"/>
        </w:rPr>
        <w:t>類環保設備產品，</w:t>
      </w:r>
      <w:r w:rsidRPr="00F84DA6">
        <w:rPr>
          <w:rFonts w:ascii="Times New Roman" w:hAnsi="Times New Roman" w:cs="Times New Roman"/>
          <w:color w:val="000000"/>
          <w:kern w:val="0"/>
          <w:szCs w:val="24"/>
        </w:rPr>
        <w:t>APEC</w:t>
      </w:r>
      <w:r w:rsidRPr="00F84DA6">
        <w:rPr>
          <w:rFonts w:ascii="Times New Roman" w:hAnsi="Times New Roman" w:cs="Times New Roman"/>
          <w:color w:val="000000"/>
          <w:kern w:val="0"/>
          <w:szCs w:val="24"/>
        </w:rPr>
        <w:t>各經濟體將在</w:t>
      </w:r>
      <w:r w:rsidRPr="00F84DA6">
        <w:rPr>
          <w:rFonts w:ascii="Times New Roman" w:hAnsi="Times New Roman" w:cs="Times New Roman"/>
          <w:color w:val="000000"/>
          <w:kern w:val="0"/>
          <w:szCs w:val="24"/>
        </w:rPr>
        <w:t>2015</w:t>
      </w:r>
      <w:r w:rsidRPr="00F84DA6">
        <w:rPr>
          <w:rFonts w:ascii="Times New Roman" w:hAnsi="Times New Roman" w:cs="Times New Roman"/>
          <w:color w:val="000000"/>
          <w:kern w:val="0"/>
          <w:szCs w:val="24"/>
        </w:rPr>
        <w:t>年前把清單內產品的關稅降低至</w:t>
      </w:r>
      <w:r w:rsidRPr="00F84DA6">
        <w:rPr>
          <w:rFonts w:ascii="Times New Roman" w:hAnsi="Times New Roman" w:cs="Times New Roman"/>
          <w:color w:val="000000"/>
          <w:kern w:val="0"/>
          <w:szCs w:val="24"/>
        </w:rPr>
        <w:t>5</w:t>
      </w:r>
      <w:r w:rsidRPr="00F84DA6">
        <w:rPr>
          <w:rFonts w:ascii="Times New Roman" w:hAnsi="Times New Roman" w:cs="Times New Roman"/>
          <w:color w:val="000000"/>
          <w:kern w:val="0"/>
          <w:szCs w:val="24"/>
        </w:rPr>
        <w:t>％。在俄羅斯經濟發展部部長別洛烏索夫看來，這份清單的通過不僅為環保類商品打開了市場，更重要的是體現了各方在全球經濟不景氣、國際關係和局勢複雜多變的情況下能夠摒棄分歧、求同存異、達成共識的決心和勇氣。</w:t>
      </w:r>
    </w:p>
    <w:p w:rsidR="00D74EA9" w:rsidRPr="00E654AC" w:rsidRDefault="00D74EA9" w:rsidP="00D74EA9">
      <w:pPr>
        <w:widowControl/>
        <w:snapToGrid w:val="0"/>
        <w:spacing w:beforeLines="50" w:before="180" w:line="300" w:lineRule="auto"/>
        <w:jc w:val="both"/>
        <w:rPr>
          <w:rFonts w:ascii="Times New Roman" w:hAnsi="Times New Roman" w:cs="Times New Roman"/>
          <w:color w:val="000000"/>
          <w:kern w:val="0"/>
          <w:szCs w:val="24"/>
        </w:rPr>
      </w:pPr>
      <w:r w:rsidRPr="00F84DA6">
        <w:rPr>
          <w:rFonts w:ascii="Times New Roman" w:hAnsi="Times New Roman" w:cs="Times New Roman"/>
          <w:color w:val="000000"/>
          <w:kern w:val="0"/>
          <w:szCs w:val="24"/>
        </w:rPr>
        <w:lastRenderedPageBreak/>
        <w:t>分析人士認為，世界貿易組織從</w:t>
      </w:r>
      <w:r w:rsidRPr="00F84DA6">
        <w:rPr>
          <w:rFonts w:ascii="Times New Roman" w:hAnsi="Times New Roman" w:cs="Times New Roman"/>
          <w:color w:val="000000"/>
          <w:kern w:val="0"/>
          <w:szCs w:val="24"/>
        </w:rPr>
        <w:t>2001</w:t>
      </w:r>
      <w:r w:rsidRPr="00F84DA6">
        <w:rPr>
          <w:rFonts w:ascii="Times New Roman" w:hAnsi="Times New Roman" w:cs="Times New Roman"/>
          <w:color w:val="000000"/>
          <w:kern w:val="0"/>
          <w:szCs w:val="24"/>
        </w:rPr>
        <w:t>年就開始討論研究通過這一清單，但是</w:t>
      </w:r>
      <w:r w:rsidRPr="00F84DA6">
        <w:rPr>
          <w:rFonts w:ascii="Times New Roman" w:hAnsi="Times New Roman" w:cs="Times New Roman"/>
          <w:color w:val="000000"/>
          <w:kern w:val="0"/>
          <w:szCs w:val="24"/>
        </w:rPr>
        <w:t>10</w:t>
      </w:r>
      <w:r w:rsidRPr="00F84DA6">
        <w:rPr>
          <w:rFonts w:ascii="Times New Roman" w:hAnsi="Times New Roman" w:cs="Times New Roman"/>
          <w:color w:val="000000"/>
          <w:kern w:val="0"/>
          <w:szCs w:val="24"/>
        </w:rPr>
        <w:t>年來，各成員出於各自的利益考慮，一直沒有就這一問題達成共識。不過現在</w:t>
      </w:r>
      <w:r w:rsidRPr="00F84DA6">
        <w:rPr>
          <w:rFonts w:ascii="Times New Roman" w:hAnsi="Times New Roman" w:cs="Times New Roman"/>
          <w:color w:val="000000"/>
          <w:kern w:val="0"/>
          <w:szCs w:val="24"/>
        </w:rPr>
        <w:t>APEC</w:t>
      </w:r>
      <w:r w:rsidRPr="00F84DA6">
        <w:rPr>
          <w:rFonts w:ascii="Times New Roman" w:hAnsi="Times New Roman" w:cs="Times New Roman"/>
          <w:color w:val="000000"/>
          <w:kern w:val="0"/>
          <w:szCs w:val="24"/>
        </w:rPr>
        <w:t>各個經濟體只用了一年時間就通過了這份包含</w:t>
      </w:r>
      <w:r w:rsidRPr="00F84DA6">
        <w:rPr>
          <w:rFonts w:ascii="Times New Roman" w:hAnsi="Times New Roman" w:cs="Times New Roman"/>
          <w:color w:val="000000"/>
          <w:kern w:val="0"/>
          <w:szCs w:val="24"/>
        </w:rPr>
        <w:t>54</w:t>
      </w:r>
      <w:r w:rsidRPr="00F84DA6">
        <w:rPr>
          <w:rFonts w:ascii="Times New Roman" w:hAnsi="Times New Roman" w:cs="Times New Roman"/>
          <w:color w:val="000000"/>
          <w:kern w:val="0"/>
          <w:szCs w:val="24"/>
        </w:rPr>
        <w:t>種環保商品的清單，這確實是一個突破。</w:t>
      </w:r>
    </w:p>
    <w:p w:rsidR="00D74EA9" w:rsidRPr="00F84DA6" w:rsidRDefault="00D74EA9" w:rsidP="00D74EA9">
      <w:pPr>
        <w:shd w:val="clear" w:color="auto" w:fill="FFFFFF"/>
        <w:snapToGrid w:val="0"/>
        <w:spacing w:beforeLines="50" w:before="180" w:line="300" w:lineRule="auto"/>
        <w:ind w:right="313"/>
        <w:jc w:val="both"/>
        <w:rPr>
          <w:rFonts w:ascii="Times New Roman" w:hAnsi="Times New Roman" w:cs="Times New Roman"/>
          <w:szCs w:val="24"/>
        </w:rPr>
      </w:pPr>
      <w:r w:rsidRPr="00F84DA6">
        <w:rPr>
          <w:rFonts w:ascii="Times New Roman" w:hAnsi="Times New Roman" w:cs="Times New Roman"/>
          <w:color w:val="000000"/>
          <w:kern w:val="0"/>
          <w:szCs w:val="24"/>
        </w:rPr>
        <w:t>除了《環境產品清單》，本次會議</w:t>
      </w:r>
      <w:proofErr w:type="gramStart"/>
      <w:r w:rsidRPr="00F84DA6">
        <w:rPr>
          <w:rFonts w:ascii="Times New Roman" w:hAnsi="Times New Roman" w:cs="Times New Roman"/>
          <w:color w:val="000000"/>
          <w:kern w:val="0"/>
          <w:szCs w:val="24"/>
        </w:rPr>
        <w:t>期間，</w:t>
      </w:r>
      <w:proofErr w:type="gramEnd"/>
      <w:r w:rsidRPr="00F84DA6">
        <w:rPr>
          <w:rFonts w:ascii="Times New Roman" w:hAnsi="Times New Roman" w:cs="Times New Roman"/>
          <w:color w:val="000000"/>
          <w:kern w:val="0"/>
          <w:szCs w:val="24"/>
        </w:rPr>
        <w:t>各國就進一步推動自由貿易發展，設立自由貿易區等問題也達成了諸多共識。別洛烏索夫認為，本次會議之所以能達成多項成果，與</w:t>
      </w:r>
      <w:r w:rsidRPr="00F84DA6">
        <w:rPr>
          <w:rFonts w:ascii="Times New Roman" w:hAnsi="Times New Roman" w:cs="Times New Roman"/>
          <w:color w:val="000000"/>
          <w:kern w:val="0"/>
          <w:szCs w:val="24"/>
        </w:rPr>
        <w:t>APEC</w:t>
      </w:r>
      <w:r w:rsidRPr="00F84DA6">
        <w:rPr>
          <w:rFonts w:ascii="Times New Roman" w:hAnsi="Times New Roman" w:cs="Times New Roman"/>
          <w:color w:val="000000"/>
          <w:kern w:val="0"/>
          <w:szCs w:val="24"/>
        </w:rPr>
        <w:t>開放包容的理念密切相關。今天</w:t>
      </w:r>
      <w:r w:rsidRPr="00F84DA6">
        <w:rPr>
          <w:rFonts w:ascii="Times New Roman" w:hAnsi="Times New Roman" w:cs="Times New Roman"/>
          <w:color w:val="000000"/>
          <w:kern w:val="0"/>
          <w:szCs w:val="24"/>
        </w:rPr>
        <w:t>APEC</w:t>
      </w:r>
      <w:r w:rsidRPr="00F84DA6">
        <w:rPr>
          <w:rFonts w:ascii="Times New Roman" w:hAnsi="Times New Roman" w:cs="Times New Roman"/>
          <w:color w:val="000000"/>
          <w:kern w:val="0"/>
          <w:szCs w:val="24"/>
        </w:rPr>
        <w:t>已經成為了發展新型國家間關係的一個獨特的平</w:t>
      </w:r>
      <w:proofErr w:type="gramStart"/>
      <w:r w:rsidRPr="00F84DA6">
        <w:rPr>
          <w:rFonts w:ascii="Times New Roman" w:hAnsi="Times New Roman" w:cs="Times New Roman"/>
          <w:color w:val="000000"/>
          <w:kern w:val="0"/>
          <w:szCs w:val="24"/>
        </w:rPr>
        <w:t>臺</w:t>
      </w:r>
      <w:proofErr w:type="gramEnd"/>
      <w:r w:rsidRPr="00F84DA6">
        <w:rPr>
          <w:rFonts w:ascii="Times New Roman" w:hAnsi="Times New Roman" w:cs="Times New Roman"/>
          <w:color w:val="000000"/>
          <w:kern w:val="0"/>
          <w:szCs w:val="24"/>
        </w:rPr>
        <w:t>，無論對於雙邊關係還是多邊關係</w:t>
      </w:r>
      <w:proofErr w:type="gramStart"/>
      <w:r w:rsidRPr="00F84DA6">
        <w:rPr>
          <w:rFonts w:ascii="Times New Roman" w:hAnsi="Times New Roman" w:cs="Times New Roman"/>
          <w:color w:val="000000"/>
          <w:kern w:val="0"/>
          <w:szCs w:val="24"/>
        </w:rPr>
        <w:t>來說都是</w:t>
      </w:r>
      <w:proofErr w:type="gramEnd"/>
      <w:r w:rsidRPr="00F84DA6">
        <w:rPr>
          <w:rFonts w:ascii="Times New Roman" w:hAnsi="Times New Roman" w:cs="Times New Roman"/>
          <w:color w:val="000000"/>
          <w:kern w:val="0"/>
          <w:szCs w:val="24"/>
        </w:rPr>
        <w:t>這樣。所以當很多國家簽署的自由貿易協定達到數十個之多也就不奇怪了。比如說智利現在已經有</w:t>
      </w:r>
      <w:r w:rsidRPr="00F84DA6">
        <w:rPr>
          <w:rFonts w:ascii="Times New Roman" w:hAnsi="Times New Roman" w:cs="Times New Roman"/>
          <w:color w:val="000000"/>
          <w:kern w:val="0"/>
          <w:szCs w:val="24"/>
        </w:rPr>
        <w:t>58</w:t>
      </w:r>
      <w:r w:rsidRPr="00F84DA6">
        <w:rPr>
          <w:rFonts w:ascii="Times New Roman" w:hAnsi="Times New Roman" w:cs="Times New Roman"/>
          <w:color w:val="000000"/>
          <w:kern w:val="0"/>
          <w:szCs w:val="24"/>
        </w:rPr>
        <w:t>個自由貿易區協定，而越南也有好幾十個。</w:t>
      </w:r>
    </w:p>
    <w:p w:rsidR="00D74EA9" w:rsidRDefault="00D74EA9" w:rsidP="00267662">
      <w:pPr>
        <w:widowControl/>
        <w:jc w:val="center"/>
        <w:rPr>
          <w:rFonts w:asciiTheme="majorEastAsia" w:eastAsiaTheme="majorEastAsia" w:hAnsiTheme="majorEastAsia" w:cs="新細明體" w:hint="eastAsia"/>
          <w:b/>
          <w:kern w:val="0"/>
          <w:sz w:val="28"/>
          <w:szCs w:val="28"/>
        </w:rPr>
      </w:pPr>
    </w:p>
    <w:p w:rsidR="00D74EA9" w:rsidRPr="007776F8" w:rsidRDefault="00D74EA9" w:rsidP="00D74EA9">
      <w:pPr>
        <w:widowControl/>
        <w:rPr>
          <w:rFonts w:asciiTheme="majorEastAsia" w:eastAsiaTheme="majorEastAsia" w:hAnsiTheme="majorEastAsia" w:cs="新細明體"/>
          <w:b/>
          <w:kern w:val="0"/>
          <w:sz w:val="28"/>
          <w:szCs w:val="28"/>
        </w:rPr>
      </w:pPr>
      <w:r w:rsidRPr="00267662">
        <w:rPr>
          <w:rFonts w:asciiTheme="majorEastAsia" w:eastAsiaTheme="majorEastAsia" w:hAnsiTheme="majorEastAsia" w:cs="新細明體"/>
          <w:b/>
          <w:kern w:val="0"/>
          <w:sz w:val="28"/>
          <w:szCs w:val="28"/>
        </w:rPr>
        <w:t>CERES</w:t>
      </w:r>
      <w:r w:rsidRPr="00267662">
        <w:rPr>
          <w:rFonts w:asciiTheme="majorEastAsia" w:eastAsiaTheme="majorEastAsia" w:hAnsiTheme="majorEastAsia" w:cs="新細明體" w:hint="eastAsia"/>
          <w:b/>
          <w:kern w:val="0"/>
          <w:sz w:val="28"/>
          <w:szCs w:val="28"/>
        </w:rPr>
        <w:t>發佈</w:t>
      </w:r>
      <w:proofErr w:type="gramStart"/>
      <w:r w:rsidRPr="00267662">
        <w:rPr>
          <w:rFonts w:asciiTheme="majorEastAsia" w:eastAsiaTheme="majorEastAsia" w:hAnsiTheme="majorEastAsia" w:cs="新細明體" w:hint="eastAsia"/>
          <w:b/>
          <w:kern w:val="0"/>
          <w:sz w:val="28"/>
          <w:szCs w:val="28"/>
        </w:rPr>
        <w:t>供應鏈可持續</w:t>
      </w:r>
      <w:proofErr w:type="gramEnd"/>
      <w:r w:rsidRPr="00267662">
        <w:rPr>
          <w:rFonts w:asciiTheme="majorEastAsia" w:eastAsiaTheme="majorEastAsia" w:hAnsiTheme="majorEastAsia" w:cs="新細明體" w:hint="eastAsia"/>
          <w:b/>
          <w:kern w:val="0"/>
          <w:sz w:val="28"/>
          <w:szCs w:val="28"/>
        </w:rPr>
        <w:t>管理工具：供應商自我評估問卷</w:t>
      </w:r>
      <w:r>
        <w:rPr>
          <w:rFonts w:asciiTheme="majorEastAsia" w:eastAsiaTheme="majorEastAsia" w:hAnsiTheme="majorEastAsia" w:cs="新細明體" w:hint="eastAsia"/>
          <w:b/>
          <w:kern w:val="0"/>
          <w:sz w:val="28"/>
          <w:szCs w:val="28"/>
        </w:rPr>
        <w:t>(CERES, 2012/9/4)</w:t>
      </w:r>
    </w:p>
    <w:p w:rsidR="00D74EA9" w:rsidRDefault="00D74EA9" w:rsidP="00D74EA9">
      <w:pPr>
        <w:widowControl/>
        <w:spacing w:before="100" w:beforeAutospacing="1" w:after="100" w:afterAutospacing="1" w:line="300" w:lineRule="atLeast"/>
        <w:rPr>
          <w:rFonts w:ascii="新細明體" w:eastAsia="新細明體" w:hAnsi="新細明體" w:cs="新細明體"/>
          <w:color w:val="000000"/>
          <w:kern w:val="0"/>
          <w:szCs w:val="24"/>
        </w:rPr>
      </w:pPr>
      <w:hyperlink r:id="rId9" w:history="1">
        <w:r w:rsidRPr="00CE5B7B">
          <w:rPr>
            <w:rStyle w:val="a3"/>
            <w:rFonts w:ascii="新細明體" w:eastAsia="新細明體" w:hAnsi="新細明體" w:cs="新細明體"/>
            <w:kern w:val="0"/>
            <w:szCs w:val="24"/>
          </w:rPr>
          <w:t>http://www.csrwire.com/press_releases/34540-The-Supplier-Self-Assessment-Questionnaire-SAQ-Ceres-Launches-New-Tool-for-Strengthening-Supply-Chains</w:t>
        </w:r>
      </w:hyperlink>
    </w:p>
    <w:p w:rsidR="00D74EA9" w:rsidRPr="007776F8" w:rsidRDefault="00D74EA9" w:rsidP="00D74EA9">
      <w:pPr>
        <w:widowControl/>
        <w:spacing w:before="100" w:beforeAutospacing="1" w:after="100" w:afterAutospacing="1" w:line="300" w:lineRule="atLeast"/>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對環境負責任經濟體聯盟(</w:t>
      </w:r>
      <w:r w:rsidRPr="007776F8">
        <w:rPr>
          <w:rFonts w:ascii="新細明體" w:eastAsia="新細明體" w:hAnsi="新細明體" w:cs="新細明體"/>
          <w:color w:val="000000"/>
          <w:kern w:val="0"/>
          <w:szCs w:val="24"/>
        </w:rPr>
        <w:t>CERES</w:t>
      </w:r>
      <w:r>
        <w:rPr>
          <w:rFonts w:ascii="新細明體" w:eastAsia="新細明體" w:hAnsi="新細明體" w:cs="新細明體" w:hint="eastAsia"/>
          <w:color w:val="000000"/>
          <w:kern w:val="0"/>
          <w:szCs w:val="24"/>
        </w:rPr>
        <w:t>)在9月初</w:t>
      </w:r>
      <w:r w:rsidRPr="007776F8">
        <w:rPr>
          <w:rFonts w:ascii="新細明體" w:eastAsia="新細明體" w:hAnsi="新細明體" w:cs="新細明體" w:hint="eastAsia"/>
          <w:color w:val="000000"/>
          <w:kern w:val="0"/>
          <w:szCs w:val="24"/>
        </w:rPr>
        <w:t>發佈了一套用於幫助企業評估</w:t>
      </w:r>
      <w:proofErr w:type="gramStart"/>
      <w:r w:rsidRPr="007776F8">
        <w:rPr>
          <w:rFonts w:ascii="新細明體" w:eastAsia="新細明體" w:hAnsi="新細明體" w:cs="新細明體" w:hint="eastAsia"/>
          <w:color w:val="000000"/>
          <w:kern w:val="0"/>
          <w:szCs w:val="24"/>
        </w:rPr>
        <w:t>供應鏈</w:t>
      </w:r>
      <w:r>
        <w:rPr>
          <w:rFonts w:ascii="新細明體" w:eastAsia="新細明體" w:hAnsi="新細明體" w:cs="新細明體" w:hint="eastAsia"/>
          <w:color w:val="000000"/>
          <w:kern w:val="0"/>
          <w:szCs w:val="24"/>
        </w:rPr>
        <w:t>永續</w:t>
      </w:r>
      <w:proofErr w:type="gramEnd"/>
      <w:r w:rsidRPr="007776F8">
        <w:rPr>
          <w:rFonts w:ascii="新細明體" w:eastAsia="新細明體" w:hAnsi="新細明體" w:cs="新細明體" w:hint="eastAsia"/>
          <w:color w:val="000000"/>
          <w:kern w:val="0"/>
          <w:szCs w:val="24"/>
        </w:rPr>
        <w:t>績效</w:t>
      </w:r>
      <w:proofErr w:type="gramStart"/>
      <w:r w:rsidRPr="007776F8">
        <w:rPr>
          <w:rFonts w:ascii="新細明體" w:eastAsia="新細明體" w:hAnsi="新細明體" w:cs="新細明體" w:hint="eastAsia"/>
          <w:color w:val="000000"/>
          <w:kern w:val="0"/>
          <w:szCs w:val="24"/>
        </w:rPr>
        <w:t>的線上工具</w:t>
      </w:r>
      <w:proofErr w:type="gramEnd"/>
      <w:r w:rsidRPr="007776F8">
        <w:rPr>
          <w:rFonts w:ascii="新細明體" w:eastAsia="新細明體" w:hAnsi="新細明體" w:cs="新細明體" w:hint="eastAsia"/>
          <w:color w:val="000000"/>
          <w:kern w:val="0"/>
          <w:szCs w:val="24"/>
        </w:rPr>
        <w:t>。</w:t>
      </w:r>
      <w:proofErr w:type="gramStart"/>
      <w:r w:rsidRPr="007776F8">
        <w:rPr>
          <w:rFonts w:ascii="新細明體" w:eastAsia="新細明體" w:hAnsi="新細明體" w:cs="新細明體" w:hint="eastAsia"/>
          <w:color w:val="000000"/>
          <w:kern w:val="0"/>
          <w:szCs w:val="24"/>
        </w:rPr>
        <w:t>該線上工具</w:t>
      </w:r>
      <w:proofErr w:type="gramEnd"/>
      <w:r w:rsidRPr="007776F8">
        <w:rPr>
          <w:rFonts w:ascii="新細明體" w:eastAsia="新細明體" w:hAnsi="新細明體" w:cs="新細明體"/>
          <w:color w:val="000000"/>
          <w:kern w:val="0"/>
          <w:szCs w:val="24"/>
        </w:rPr>
        <w:t>“</w:t>
      </w:r>
      <w:r w:rsidRPr="007776F8">
        <w:rPr>
          <w:rFonts w:ascii="新細明體" w:eastAsia="新細明體" w:hAnsi="新細明體" w:cs="新細明體" w:hint="eastAsia"/>
          <w:color w:val="000000"/>
          <w:kern w:val="0"/>
          <w:szCs w:val="24"/>
        </w:rPr>
        <w:t>供應商自我評估問卷：為</w:t>
      </w:r>
      <w:r>
        <w:rPr>
          <w:rFonts w:ascii="新細明體" w:eastAsia="新細明體" w:hAnsi="新細明體" w:cs="新細明體" w:hint="eastAsia"/>
          <w:color w:val="000000"/>
          <w:kern w:val="0"/>
          <w:szCs w:val="24"/>
        </w:rPr>
        <w:t>永續</w:t>
      </w:r>
      <w:r w:rsidRPr="007776F8">
        <w:rPr>
          <w:rFonts w:ascii="新細明體" w:eastAsia="新細明體" w:hAnsi="新細明體" w:cs="新細明體" w:hint="eastAsia"/>
          <w:color w:val="000000"/>
          <w:kern w:val="0"/>
          <w:szCs w:val="24"/>
        </w:rPr>
        <w:t>供應鏈搭建基石</w:t>
      </w:r>
      <w:proofErr w:type="gramStart"/>
      <w:r w:rsidRPr="007776F8">
        <w:rPr>
          <w:rFonts w:ascii="新細明體" w:eastAsia="新細明體" w:hAnsi="新細明體" w:cs="新細明體"/>
          <w:color w:val="000000"/>
          <w:kern w:val="0"/>
          <w:szCs w:val="24"/>
        </w:rPr>
        <w:t>”</w:t>
      </w:r>
      <w:r w:rsidRPr="007776F8">
        <w:rPr>
          <w:rFonts w:ascii="新細明體" w:eastAsia="新細明體" w:hAnsi="新細明體" w:cs="新細明體" w:hint="eastAsia"/>
          <w:color w:val="000000"/>
          <w:kern w:val="0"/>
          <w:szCs w:val="24"/>
        </w:rPr>
        <w:t>（</w:t>
      </w:r>
      <w:proofErr w:type="gramEnd"/>
      <w:r w:rsidRPr="007776F8">
        <w:rPr>
          <w:rFonts w:ascii="新細明體" w:eastAsia="新細明體" w:hAnsi="新細明體" w:cs="新細明體"/>
          <w:color w:val="000000"/>
          <w:kern w:val="0"/>
          <w:szCs w:val="24"/>
        </w:rPr>
        <w:fldChar w:fldCharType="begin"/>
      </w:r>
      <w:r w:rsidRPr="007776F8">
        <w:rPr>
          <w:rFonts w:ascii="新細明體" w:eastAsia="新細明體" w:hAnsi="新細明體" w:cs="新細明體"/>
          <w:color w:val="000000"/>
          <w:kern w:val="0"/>
          <w:szCs w:val="24"/>
        </w:rPr>
        <w:instrText xml:space="preserve"> HYPERLINK "http://www.ceres.org/resources/reports/supplier-self-assesment-questionnaire-saq-building-the-foundation-for-sustainable-supply-chains/view" </w:instrText>
      </w:r>
      <w:r w:rsidRPr="007776F8">
        <w:rPr>
          <w:rFonts w:ascii="新細明體" w:eastAsia="新細明體" w:hAnsi="新細明體" w:cs="新細明體"/>
          <w:color w:val="000000"/>
          <w:kern w:val="0"/>
          <w:szCs w:val="24"/>
        </w:rPr>
        <w:fldChar w:fldCharType="separate"/>
      </w:r>
      <w:r w:rsidRPr="007776F8">
        <w:rPr>
          <w:rFonts w:ascii="新細明體" w:eastAsia="新細明體" w:hAnsi="新細明體" w:cs="新細明體"/>
          <w:i/>
          <w:iCs/>
          <w:color w:val="0000FF"/>
          <w:kern w:val="0"/>
          <w:szCs w:val="24"/>
          <w:u w:val="single"/>
        </w:rPr>
        <w:t>Supplier Self-Assessment Questionnaire (SAQ): Building the Foundation for Sustainable Supply Chains</w:t>
      </w:r>
      <w:r w:rsidRPr="007776F8">
        <w:rPr>
          <w:rFonts w:ascii="新細明體" w:eastAsia="新細明體" w:hAnsi="新細明體" w:cs="新細明體"/>
          <w:color w:val="000000"/>
          <w:kern w:val="0"/>
          <w:szCs w:val="24"/>
        </w:rPr>
        <w:fldChar w:fldCharType="end"/>
      </w:r>
      <w:r w:rsidRPr="007776F8">
        <w:rPr>
          <w:rFonts w:ascii="新細明體" w:eastAsia="新細明體" w:hAnsi="新細明體" w:cs="新細明體" w:hint="eastAsia"/>
          <w:color w:val="000000"/>
          <w:kern w:val="0"/>
          <w:szCs w:val="24"/>
        </w:rPr>
        <w:t>，簡稱</w:t>
      </w:r>
      <w:r w:rsidRPr="007776F8">
        <w:rPr>
          <w:rFonts w:ascii="新細明體" w:eastAsia="新細明體" w:hAnsi="新細明體" w:cs="新細明體"/>
          <w:color w:val="000000"/>
          <w:kern w:val="0"/>
          <w:szCs w:val="24"/>
        </w:rPr>
        <w:t>SAQ</w:t>
      </w:r>
      <w:proofErr w:type="gramStart"/>
      <w:r w:rsidRPr="007776F8">
        <w:rPr>
          <w:rFonts w:ascii="新細明體" w:eastAsia="新細明體" w:hAnsi="新細明體" w:cs="新細明體" w:hint="eastAsia"/>
          <w:color w:val="000000"/>
          <w:kern w:val="0"/>
          <w:szCs w:val="24"/>
        </w:rPr>
        <w:t>）</w:t>
      </w:r>
      <w:proofErr w:type="gramEnd"/>
      <w:r>
        <w:rPr>
          <w:rFonts w:ascii="新細明體" w:eastAsia="新細明體" w:hAnsi="新細明體" w:cs="新細明體" w:hint="eastAsia"/>
          <w:color w:val="000000"/>
          <w:kern w:val="0"/>
          <w:szCs w:val="24"/>
        </w:rPr>
        <w:t>乃</w:t>
      </w:r>
      <w:r w:rsidRPr="007776F8">
        <w:rPr>
          <w:rFonts w:ascii="新細明體" w:eastAsia="新細明體" w:hAnsi="新細明體" w:cs="新細明體" w:hint="eastAsia"/>
          <w:color w:val="000000"/>
          <w:kern w:val="0"/>
          <w:szCs w:val="24"/>
        </w:rPr>
        <w:t>針對</w:t>
      </w:r>
      <w:r>
        <w:rPr>
          <w:rFonts w:ascii="新細明體" w:eastAsia="新細明體" w:hAnsi="新細明體" w:cs="新細明體" w:hint="eastAsia"/>
          <w:color w:val="000000"/>
          <w:kern w:val="0"/>
          <w:szCs w:val="24"/>
        </w:rPr>
        <w:t>製造產業</w:t>
      </w:r>
      <w:r w:rsidRPr="007776F8">
        <w:rPr>
          <w:rFonts w:ascii="新細明體" w:eastAsia="新細明體" w:hAnsi="新細明體" w:cs="新細明體" w:hint="eastAsia"/>
          <w:color w:val="000000"/>
          <w:kern w:val="0"/>
          <w:szCs w:val="24"/>
        </w:rPr>
        <w:t>設計，不過</w:t>
      </w:r>
      <w:r w:rsidRPr="007776F8">
        <w:rPr>
          <w:rFonts w:ascii="新細明體" w:eastAsia="新細明體" w:hAnsi="新細明體" w:cs="新細明體"/>
          <w:color w:val="000000"/>
          <w:kern w:val="0"/>
          <w:szCs w:val="24"/>
        </w:rPr>
        <w:t>CERES</w:t>
      </w:r>
      <w:r w:rsidRPr="007776F8">
        <w:rPr>
          <w:rFonts w:ascii="新細明體" w:eastAsia="新細明體" w:hAnsi="新細明體" w:cs="新細明體" w:hint="eastAsia"/>
          <w:color w:val="000000"/>
          <w:kern w:val="0"/>
          <w:szCs w:val="24"/>
        </w:rPr>
        <w:t>也提到，所有公司均可以採用</w:t>
      </w:r>
      <w:proofErr w:type="gramStart"/>
      <w:r w:rsidRPr="007776F8">
        <w:rPr>
          <w:rFonts w:ascii="新細明體" w:eastAsia="新細明體" w:hAnsi="新細明體" w:cs="新細明體" w:hint="eastAsia"/>
          <w:color w:val="000000"/>
          <w:kern w:val="0"/>
          <w:szCs w:val="24"/>
        </w:rPr>
        <w:t>該線上工具</w:t>
      </w:r>
      <w:proofErr w:type="gramEnd"/>
      <w:r w:rsidRPr="007776F8">
        <w:rPr>
          <w:rFonts w:ascii="新細明體" w:eastAsia="新細明體" w:hAnsi="新細明體" w:cs="新細明體" w:hint="eastAsia"/>
          <w:color w:val="000000"/>
          <w:kern w:val="0"/>
          <w:szCs w:val="24"/>
        </w:rPr>
        <w:t>加強其供應鏈的管理。</w:t>
      </w:r>
    </w:p>
    <w:p w:rsidR="00D74EA9" w:rsidRPr="007776F8" w:rsidRDefault="00D74EA9" w:rsidP="00D74EA9">
      <w:pPr>
        <w:widowControl/>
        <w:spacing w:before="100" w:beforeAutospacing="1" w:after="100" w:afterAutospacing="1" w:line="300" w:lineRule="atLeast"/>
        <w:rPr>
          <w:rFonts w:ascii="新細明體" w:eastAsia="新細明體" w:hAnsi="新細明體" w:cs="新細明體"/>
          <w:color w:val="000000"/>
          <w:kern w:val="0"/>
          <w:szCs w:val="24"/>
        </w:rPr>
      </w:pPr>
      <w:r w:rsidRPr="007776F8">
        <w:rPr>
          <w:rFonts w:ascii="新細明體" w:eastAsia="新細明體" w:hAnsi="新細明體" w:cs="新細明體"/>
          <w:color w:val="000000"/>
          <w:kern w:val="0"/>
          <w:szCs w:val="24"/>
        </w:rPr>
        <w:t>SAQ</w:t>
      </w:r>
      <w:r w:rsidRPr="007776F8">
        <w:rPr>
          <w:rFonts w:ascii="新細明體" w:eastAsia="新細明體" w:hAnsi="新細明體" w:cs="新細明體" w:hint="eastAsia"/>
          <w:color w:val="000000"/>
          <w:kern w:val="0"/>
          <w:szCs w:val="24"/>
        </w:rPr>
        <w:t>需要企業搜集四大方面議題的資訊，即企業基本資訊、環境資訊、社會資訊和治理資訊，並詢問一系列的問題。例如在環境方面就包括以下一些問題：</w:t>
      </w:r>
    </w:p>
    <w:p w:rsidR="00D74EA9" w:rsidRPr="007776F8" w:rsidRDefault="00D74EA9" w:rsidP="00D74EA9">
      <w:pPr>
        <w:widowControl/>
        <w:numPr>
          <w:ilvl w:val="0"/>
          <w:numId w:val="3"/>
        </w:numPr>
        <w:spacing w:before="100" w:beforeAutospacing="1" w:after="100" w:afterAutospacing="1" w:line="300" w:lineRule="atLeast"/>
        <w:rPr>
          <w:rFonts w:ascii="新細明體" w:eastAsia="新細明體" w:hAnsi="新細明體" w:cs="新細明體"/>
          <w:color w:val="000000"/>
          <w:kern w:val="0"/>
          <w:szCs w:val="24"/>
        </w:rPr>
      </w:pPr>
      <w:r w:rsidRPr="007776F8">
        <w:rPr>
          <w:rFonts w:ascii="新細明體" w:eastAsia="新細明體" w:hAnsi="新細明體" w:cs="新細明體" w:hint="eastAsia"/>
          <w:color w:val="000000"/>
          <w:kern w:val="0"/>
          <w:szCs w:val="24"/>
        </w:rPr>
        <w:t>工廠是否有進行能源消耗的監控和跟蹤，以及進行現場能源審核？</w:t>
      </w:r>
      <w:r w:rsidRPr="007776F8">
        <w:rPr>
          <w:rFonts w:ascii="新細明體" w:eastAsia="新細明體" w:hAnsi="新細明體" w:cs="新細明體"/>
          <w:color w:val="000000"/>
          <w:kern w:val="0"/>
          <w:szCs w:val="24"/>
        </w:rPr>
        <w:t xml:space="preserve"> </w:t>
      </w:r>
    </w:p>
    <w:p w:rsidR="00D74EA9" w:rsidRPr="007776F8" w:rsidRDefault="00D74EA9" w:rsidP="00D74EA9">
      <w:pPr>
        <w:widowControl/>
        <w:numPr>
          <w:ilvl w:val="0"/>
          <w:numId w:val="3"/>
        </w:numPr>
        <w:spacing w:before="100" w:beforeAutospacing="1" w:after="100" w:afterAutospacing="1" w:line="300" w:lineRule="atLeast"/>
        <w:rPr>
          <w:rFonts w:ascii="新細明體" w:eastAsia="新細明體" w:hAnsi="新細明體" w:cs="新細明體"/>
          <w:color w:val="000000"/>
          <w:kern w:val="0"/>
          <w:szCs w:val="24"/>
        </w:rPr>
      </w:pPr>
      <w:proofErr w:type="gramStart"/>
      <w:r w:rsidRPr="007776F8">
        <w:rPr>
          <w:rFonts w:ascii="新細明體" w:eastAsia="新細明體" w:hAnsi="新細明體" w:cs="新細明體" w:hint="eastAsia"/>
          <w:color w:val="000000"/>
          <w:kern w:val="0"/>
          <w:szCs w:val="24"/>
        </w:rPr>
        <w:t>近些年來所</w:t>
      </w:r>
      <w:proofErr w:type="gramEnd"/>
      <w:r w:rsidRPr="007776F8">
        <w:rPr>
          <w:rFonts w:ascii="新細明體" w:eastAsia="新細明體" w:hAnsi="新細明體" w:cs="新細明體" w:hint="eastAsia"/>
          <w:color w:val="000000"/>
          <w:kern w:val="0"/>
          <w:szCs w:val="24"/>
        </w:rPr>
        <w:t>測算的每年二氧化碳排放</w:t>
      </w:r>
      <w:proofErr w:type="gramStart"/>
      <w:r w:rsidRPr="007776F8">
        <w:rPr>
          <w:rFonts w:ascii="新細明體" w:eastAsia="新細明體" w:hAnsi="新細明體" w:cs="新細明體" w:hint="eastAsia"/>
          <w:color w:val="000000"/>
          <w:kern w:val="0"/>
          <w:szCs w:val="24"/>
        </w:rPr>
        <w:t>總量均是多少</w:t>
      </w:r>
      <w:proofErr w:type="gramEnd"/>
      <w:r w:rsidRPr="007776F8">
        <w:rPr>
          <w:rFonts w:ascii="新細明體" w:eastAsia="新細明體" w:hAnsi="新細明體" w:cs="新細明體" w:hint="eastAsia"/>
          <w:color w:val="000000"/>
          <w:kern w:val="0"/>
          <w:szCs w:val="24"/>
        </w:rPr>
        <w:t>？</w:t>
      </w:r>
      <w:r w:rsidRPr="007776F8">
        <w:rPr>
          <w:rFonts w:ascii="新細明體" w:eastAsia="新細明體" w:hAnsi="新細明體" w:cs="新細明體"/>
          <w:color w:val="000000"/>
          <w:kern w:val="0"/>
          <w:szCs w:val="24"/>
        </w:rPr>
        <w:t xml:space="preserve"> </w:t>
      </w:r>
    </w:p>
    <w:p w:rsidR="00D74EA9" w:rsidRPr="007776F8" w:rsidRDefault="00D74EA9" w:rsidP="00D74EA9">
      <w:pPr>
        <w:widowControl/>
        <w:numPr>
          <w:ilvl w:val="0"/>
          <w:numId w:val="3"/>
        </w:numPr>
        <w:spacing w:before="100" w:beforeAutospacing="1" w:after="100" w:afterAutospacing="1" w:line="300" w:lineRule="atLeast"/>
        <w:rPr>
          <w:rFonts w:ascii="新細明體" w:eastAsia="新細明體" w:hAnsi="新細明體" w:cs="新細明體"/>
          <w:color w:val="000000"/>
          <w:kern w:val="0"/>
          <w:szCs w:val="24"/>
        </w:rPr>
      </w:pPr>
      <w:r w:rsidRPr="007776F8">
        <w:rPr>
          <w:rFonts w:ascii="新細明體" w:eastAsia="新細明體" w:hAnsi="新細明體" w:cs="新細明體" w:hint="eastAsia"/>
          <w:color w:val="000000"/>
          <w:kern w:val="0"/>
          <w:szCs w:val="24"/>
        </w:rPr>
        <w:t>工廠是否對廢棄物的轉移、處理和處置進行記錄？</w:t>
      </w:r>
      <w:r w:rsidRPr="007776F8">
        <w:rPr>
          <w:rFonts w:ascii="新細明體" w:eastAsia="新細明體" w:hAnsi="新細明體" w:cs="新細明體"/>
          <w:color w:val="000000"/>
          <w:kern w:val="0"/>
          <w:szCs w:val="24"/>
        </w:rPr>
        <w:t xml:space="preserve"> </w:t>
      </w:r>
    </w:p>
    <w:p w:rsidR="00D74EA9" w:rsidRPr="007776F8" w:rsidRDefault="00D74EA9" w:rsidP="00D74EA9">
      <w:pPr>
        <w:widowControl/>
        <w:numPr>
          <w:ilvl w:val="0"/>
          <w:numId w:val="3"/>
        </w:numPr>
        <w:spacing w:before="100" w:beforeAutospacing="1" w:after="100" w:afterAutospacing="1" w:line="300" w:lineRule="atLeast"/>
        <w:rPr>
          <w:rFonts w:ascii="新細明體" w:eastAsia="新細明體" w:hAnsi="新細明體" w:cs="新細明體"/>
          <w:color w:val="000000"/>
          <w:kern w:val="0"/>
          <w:szCs w:val="24"/>
        </w:rPr>
      </w:pPr>
      <w:r w:rsidRPr="007776F8">
        <w:rPr>
          <w:rFonts w:ascii="新細明體" w:eastAsia="新細明體" w:hAnsi="新細明體" w:cs="新細明體" w:hint="eastAsia"/>
          <w:color w:val="000000"/>
          <w:kern w:val="0"/>
          <w:szCs w:val="24"/>
        </w:rPr>
        <w:t>工廠是否將包裝減量、回收和再利用納入進其採購實踐？</w:t>
      </w:r>
      <w:r w:rsidRPr="007776F8">
        <w:rPr>
          <w:rFonts w:ascii="新細明體" w:eastAsia="新細明體" w:hAnsi="新細明體" w:cs="新細明體"/>
          <w:color w:val="000000"/>
          <w:kern w:val="0"/>
          <w:szCs w:val="24"/>
        </w:rPr>
        <w:t xml:space="preserve"> </w:t>
      </w:r>
    </w:p>
    <w:p w:rsidR="00D74EA9" w:rsidRPr="007776F8" w:rsidRDefault="00D74EA9" w:rsidP="00D74EA9">
      <w:pPr>
        <w:widowControl/>
        <w:spacing w:before="100" w:beforeAutospacing="1" w:after="100" w:afterAutospacing="1" w:line="300" w:lineRule="atLeast"/>
        <w:rPr>
          <w:rFonts w:ascii="新細明體" w:eastAsia="新細明體" w:hAnsi="新細明體" w:cs="新細明體"/>
          <w:color w:val="000000"/>
          <w:kern w:val="0"/>
          <w:szCs w:val="24"/>
        </w:rPr>
      </w:pPr>
      <w:r w:rsidRPr="007776F8">
        <w:rPr>
          <w:rFonts w:ascii="新細明體" w:eastAsia="新細明體" w:hAnsi="新細明體" w:cs="新細明體"/>
          <w:color w:val="000000"/>
          <w:kern w:val="0"/>
          <w:szCs w:val="24"/>
        </w:rPr>
        <w:t>CERES</w:t>
      </w:r>
      <w:r>
        <w:rPr>
          <w:rFonts w:ascii="新細明體" w:eastAsia="新細明體" w:hAnsi="新細明體" w:cs="新細明體" w:hint="eastAsia"/>
          <w:color w:val="000000"/>
          <w:kern w:val="0"/>
          <w:szCs w:val="24"/>
        </w:rPr>
        <w:t>指出</w:t>
      </w:r>
      <w:r w:rsidRPr="007776F8">
        <w:rPr>
          <w:rFonts w:ascii="新細明體" w:eastAsia="新細明體" w:hAnsi="新細明體" w:cs="新細明體" w:hint="eastAsia"/>
          <w:color w:val="000000"/>
          <w:kern w:val="0"/>
          <w:szCs w:val="24"/>
        </w:rPr>
        <w:t>：</w:t>
      </w:r>
      <w:r w:rsidRPr="007776F8">
        <w:rPr>
          <w:rFonts w:ascii="新細明體" w:eastAsia="新細明體" w:hAnsi="新細明體" w:cs="新細明體"/>
          <w:color w:val="000000"/>
          <w:kern w:val="0"/>
          <w:szCs w:val="24"/>
        </w:rPr>
        <w:t>“</w:t>
      </w:r>
      <w:r w:rsidRPr="007776F8">
        <w:rPr>
          <w:rFonts w:ascii="新細明體" w:eastAsia="新細明體" w:hAnsi="新細明體" w:cs="新細明體" w:hint="eastAsia"/>
          <w:color w:val="000000"/>
          <w:kern w:val="0"/>
          <w:szCs w:val="24"/>
        </w:rPr>
        <w:t>評估和管理</w:t>
      </w:r>
      <w:r w:rsidRPr="007776F8">
        <w:rPr>
          <w:rFonts w:ascii="新細明體" w:eastAsia="新細明體" w:hAnsi="新細明體" w:cs="新細明體"/>
          <w:color w:val="000000"/>
          <w:kern w:val="0"/>
          <w:szCs w:val="24"/>
        </w:rPr>
        <w:t>ESG</w:t>
      </w:r>
      <w:r>
        <w:rPr>
          <w:rFonts w:ascii="新細明體" w:eastAsia="新細明體" w:hAnsi="新細明體" w:cs="新細明體" w:hint="eastAsia"/>
          <w:color w:val="000000"/>
          <w:kern w:val="0"/>
          <w:szCs w:val="24"/>
        </w:rPr>
        <w:t>的</w:t>
      </w:r>
      <w:r w:rsidRPr="007776F8">
        <w:rPr>
          <w:rFonts w:ascii="新細明體" w:eastAsia="新細明體" w:hAnsi="新細明體" w:cs="新細明體" w:hint="eastAsia"/>
          <w:color w:val="000000"/>
          <w:kern w:val="0"/>
          <w:szCs w:val="24"/>
        </w:rPr>
        <w:t>實踐和績效能幫助企業省錢，還能提高生產的效率。</w:t>
      </w:r>
      <w:r w:rsidRPr="007776F8">
        <w:rPr>
          <w:rFonts w:ascii="新細明體" w:eastAsia="新細明體" w:hAnsi="新細明體" w:cs="新細明體"/>
          <w:color w:val="000000"/>
          <w:kern w:val="0"/>
          <w:szCs w:val="24"/>
        </w:rPr>
        <w:t>”</w:t>
      </w:r>
    </w:p>
    <w:p w:rsidR="00D74EA9" w:rsidRDefault="00D74EA9" w:rsidP="00D74EA9">
      <w:pPr>
        <w:shd w:val="clear" w:color="auto" w:fill="FFFFFF"/>
        <w:snapToGrid w:val="0"/>
        <w:spacing w:beforeLines="50" w:before="180" w:line="300" w:lineRule="auto"/>
        <w:ind w:right="313"/>
        <w:jc w:val="both"/>
        <w:rPr>
          <w:rFonts w:ascii="Arial" w:hAnsi="Arial" w:cs="Arial"/>
          <w:szCs w:val="24"/>
        </w:rPr>
      </w:pPr>
    </w:p>
    <w:p w:rsidR="00D74EA9" w:rsidRPr="00B4691F" w:rsidRDefault="00D74EA9" w:rsidP="00D74EA9">
      <w:pPr>
        <w:widowControl/>
        <w:rPr>
          <w:rFonts w:asciiTheme="majorEastAsia" w:eastAsiaTheme="majorEastAsia" w:hAnsiTheme="majorEastAsia" w:cs="新細明體"/>
          <w:b/>
          <w:kern w:val="0"/>
          <w:sz w:val="28"/>
          <w:szCs w:val="28"/>
        </w:rPr>
      </w:pPr>
      <w:r w:rsidRPr="00267662">
        <w:rPr>
          <w:rFonts w:asciiTheme="majorEastAsia" w:eastAsiaTheme="majorEastAsia" w:hAnsiTheme="majorEastAsia" w:cs="新細明體" w:hint="eastAsia"/>
          <w:b/>
          <w:kern w:val="0"/>
          <w:sz w:val="28"/>
          <w:szCs w:val="28"/>
        </w:rPr>
        <w:t>美國通過法案要求上市公司披露使用衝突礦物情況</w:t>
      </w:r>
      <w:r>
        <w:rPr>
          <w:rFonts w:asciiTheme="majorEastAsia" w:eastAsiaTheme="majorEastAsia" w:hAnsiTheme="majorEastAsia" w:cs="新細明體" w:hint="eastAsia"/>
          <w:b/>
          <w:kern w:val="0"/>
          <w:sz w:val="28"/>
          <w:szCs w:val="28"/>
        </w:rPr>
        <w:t>(CSR Europe, 2012/8/24)</w:t>
      </w:r>
    </w:p>
    <w:p w:rsidR="00D74EA9" w:rsidRPr="00AE73BB" w:rsidRDefault="00D74EA9" w:rsidP="00D74EA9">
      <w:pPr>
        <w:widowControl/>
        <w:spacing w:before="100" w:beforeAutospacing="1" w:after="100" w:afterAutospacing="1" w:line="300" w:lineRule="atLeast"/>
        <w:rPr>
          <w:rFonts w:ascii="新細明體" w:eastAsia="新細明體" w:hAnsi="新細明體" w:cs="新細明體"/>
          <w:color w:val="000000"/>
          <w:kern w:val="0"/>
          <w:szCs w:val="24"/>
        </w:rPr>
      </w:pPr>
      <w:hyperlink r:id="rId10" w:history="1">
        <w:r w:rsidRPr="00AE73BB">
          <w:rPr>
            <w:rStyle w:val="a3"/>
            <w:rFonts w:ascii="新細明體" w:eastAsia="新細明體" w:hAnsi="新細明體" w:cs="新細明體"/>
            <w:kern w:val="0"/>
            <w:szCs w:val="24"/>
          </w:rPr>
          <w:t>http://www.csreurope.org/news.php?type=&amp;action=show_news&amp;news</w:t>
        </w:r>
        <w:r w:rsidRPr="00AE73BB">
          <w:rPr>
            <w:rStyle w:val="a3"/>
            <w:rFonts w:ascii="新細明體" w:eastAsia="新細明體" w:hAnsi="新細明體" w:cs="新細明體"/>
            <w:kern w:val="0"/>
            <w:szCs w:val="24"/>
          </w:rPr>
          <w:t>_</w:t>
        </w:r>
        <w:r w:rsidRPr="00AE73BB">
          <w:rPr>
            <w:rStyle w:val="a3"/>
            <w:rFonts w:ascii="新細明體" w:eastAsia="新細明體" w:hAnsi="新細明體" w:cs="新細明體"/>
            <w:kern w:val="0"/>
            <w:szCs w:val="24"/>
          </w:rPr>
          <w:t>id=5064</w:t>
        </w:r>
      </w:hyperlink>
    </w:p>
    <w:p w:rsidR="00D74EA9" w:rsidRPr="00B4691F" w:rsidRDefault="00D74EA9" w:rsidP="00D74EA9">
      <w:pPr>
        <w:widowControl/>
        <w:snapToGrid w:val="0"/>
        <w:spacing w:beforeLines="50" w:before="180" w:line="300" w:lineRule="auto"/>
        <w:rPr>
          <w:rFonts w:ascii="新細明體" w:eastAsia="新細明體" w:hAnsi="新細明體" w:cs="新細明體"/>
          <w:color w:val="000000"/>
          <w:kern w:val="0"/>
          <w:szCs w:val="24"/>
        </w:rPr>
      </w:pPr>
      <w:r w:rsidRPr="00B4691F">
        <w:rPr>
          <w:rFonts w:ascii="新細明體" w:eastAsia="新細明體" w:hAnsi="新細明體" w:cs="新細明體" w:hint="eastAsia"/>
          <w:color w:val="000000"/>
          <w:kern w:val="0"/>
          <w:szCs w:val="24"/>
        </w:rPr>
        <w:t>美國證券交易委員會（</w:t>
      </w:r>
      <w:r w:rsidRPr="00B4691F">
        <w:rPr>
          <w:rFonts w:ascii="新細明體" w:eastAsia="新細明體" w:hAnsi="新細明體" w:cs="新細明體"/>
          <w:color w:val="000000"/>
          <w:kern w:val="0"/>
          <w:szCs w:val="24"/>
        </w:rPr>
        <w:t>SEC</w:t>
      </w:r>
      <w:r w:rsidRPr="00B4691F">
        <w:rPr>
          <w:rFonts w:ascii="新細明體" w:eastAsia="新細明體" w:hAnsi="新細明體" w:cs="新細明體" w:hint="eastAsia"/>
          <w:color w:val="000000"/>
          <w:kern w:val="0"/>
          <w:szCs w:val="24"/>
        </w:rPr>
        <w:t>）在</w:t>
      </w:r>
      <w:r w:rsidRPr="00B4691F">
        <w:rPr>
          <w:rFonts w:ascii="新細明體" w:eastAsia="新細明體" w:hAnsi="新細明體" w:cs="新細明體"/>
          <w:color w:val="000000"/>
          <w:kern w:val="0"/>
          <w:szCs w:val="24"/>
        </w:rPr>
        <w:t>8</w:t>
      </w:r>
      <w:r w:rsidRPr="00B4691F">
        <w:rPr>
          <w:rFonts w:ascii="新細明體" w:eastAsia="新細明體" w:hAnsi="新細明體" w:cs="新細明體" w:hint="eastAsia"/>
          <w:color w:val="000000"/>
          <w:kern w:val="0"/>
          <w:szCs w:val="24"/>
        </w:rPr>
        <w:t>月</w:t>
      </w:r>
      <w:r w:rsidRPr="00B4691F">
        <w:rPr>
          <w:rFonts w:ascii="新細明體" w:eastAsia="新細明體" w:hAnsi="新細明體" w:cs="新細明體"/>
          <w:color w:val="000000"/>
          <w:kern w:val="0"/>
          <w:szCs w:val="24"/>
        </w:rPr>
        <w:t>23</w:t>
      </w:r>
      <w:r w:rsidRPr="00B4691F">
        <w:rPr>
          <w:rFonts w:ascii="新細明體" w:eastAsia="新細明體" w:hAnsi="新細明體" w:cs="新細明體" w:hint="eastAsia"/>
          <w:color w:val="000000"/>
          <w:kern w:val="0"/>
          <w:szCs w:val="24"/>
        </w:rPr>
        <w:t>日通過</w:t>
      </w:r>
      <w:r w:rsidRPr="00B4691F">
        <w:rPr>
          <w:rFonts w:ascii="新細明體" w:eastAsia="新細明體" w:hAnsi="新細明體" w:cs="新細明體"/>
          <w:color w:val="000000"/>
          <w:kern w:val="0"/>
          <w:szCs w:val="24"/>
        </w:rPr>
        <w:t xml:space="preserve">Dodd-Frank </w:t>
      </w:r>
      <w:r w:rsidRPr="00B4691F">
        <w:rPr>
          <w:rFonts w:ascii="新細明體" w:eastAsia="新細明體" w:hAnsi="新細明體" w:cs="新細明體" w:hint="eastAsia"/>
          <w:color w:val="000000"/>
          <w:kern w:val="0"/>
          <w:szCs w:val="24"/>
        </w:rPr>
        <w:t>法案。該法案第</w:t>
      </w:r>
      <w:r w:rsidRPr="00B4691F">
        <w:rPr>
          <w:rFonts w:ascii="新細明體" w:eastAsia="新細明體" w:hAnsi="新細明體" w:cs="新細明體"/>
          <w:color w:val="000000"/>
          <w:kern w:val="0"/>
          <w:szCs w:val="24"/>
        </w:rPr>
        <w:t>1502</w:t>
      </w:r>
      <w:r w:rsidRPr="00B4691F">
        <w:rPr>
          <w:rFonts w:ascii="新細明體" w:eastAsia="新細明體" w:hAnsi="新細明體" w:cs="新細明體" w:hint="eastAsia"/>
          <w:color w:val="000000"/>
          <w:kern w:val="0"/>
          <w:szCs w:val="24"/>
        </w:rPr>
        <w:t>節指定剛果民主共和國或其鄰近國家開採的礦物金、鉭、錫</w:t>
      </w:r>
      <w:proofErr w:type="gramStart"/>
      <w:r w:rsidRPr="00B4691F">
        <w:rPr>
          <w:rFonts w:ascii="新細明體" w:eastAsia="新細明體" w:hAnsi="新細明體" w:cs="新細明體" w:hint="eastAsia"/>
          <w:color w:val="000000"/>
          <w:kern w:val="0"/>
          <w:szCs w:val="24"/>
        </w:rPr>
        <w:t>和鎢為衝突</w:t>
      </w:r>
      <w:proofErr w:type="gramEnd"/>
      <w:r w:rsidRPr="00B4691F">
        <w:rPr>
          <w:rFonts w:ascii="新細明體" w:eastAsia="新細明體" w:hAnsi="新細明體" w:cs="新細明體" w:hint="eastAsia"/>
          <w:color w:val="000000"/>
          <w:kern w:val="0"/>
          <w:szCs w:val="24"/>
        </w:rPr>
        <w:t>礦物，要求產品中含有</w:t>
      </w:r>
      <w:r w:rsidRPr="00B4691F">
        <w:rPr>
          <w:rFonts w:ascii="新細明體" w:eastAsia="新細明體" w:hAnsi="新細明體" w:cs="新細明體"/>
          <w:color w:val="000000"/>
          <w:kern w:val="0"/>
          <w:szCs w:val="24"/>
        </w:rPr>
        <w:t>DRC</w:t>
      </w:r>
      <w:r w:rsidRPr="00B4691F">
        <w:rPr>
          <w:rFonts w:ascii="新細明體" w:eastAsia="新細明體" w:hAnsi="新細明體" w:cs="新細明體" w:hint="eastAsia"/>
          <w:color w:val="000000"/>
          <w:kern w:val="0"/>
          <w:szCs w:val="24"/>
        </w:rPr>
        <w:t>各國</w:t>
      </w:r>
      <w:r w:rsidRPr="00B4691F">
        <w:rPr>
          <w:rFonts w:ascii="新細明體" w:eastAsia="新細明體" w:hAnsi="新細明體" w:cs="新細明體" w:hint="eastAsia"/>
          <w:color w:val="000000"/>
          <w:kern w:val="0"/>
          <w:szCs w:val="24"/>
        </w:rPr>
        <w:lastRenderedPageBreak/>
        <w:t>開採的此</w:t>
      </w:r>
      <w:r w:rsidRPr="00B4691F">
        <w:rPr>
          <w:rFonts w:ascii="新細明體" w:eastAsia="新細明體" w:hAnsi="新細明體" w:cs="新細明體"/>
          <w:color w:val="000000"/>
          <w:kern w:val="0"/>
          <w:szCs w:val="24"/>
        </w:rPr>
        <w:t>4</w:t>
      </w:r>
      <w:r w:rsidRPr="00B4691F">
        <w:rPr>
          <w:rFonts w:ascii="新細明體" w:eastAsia="新細明體" w:hAnsi="新細明體" w:cs="新細明體" w:hint="eastAsia"/>
          <w:color w:val="000000"/>
          <w:kern w:val="0"/>
          <w:szCs w:val="24"/>
        </w:rPr>
        <w:t>種衝突礦物的美國上市公司必須向</w:t>
      </w:r>
      <w:r w:rsidRPr="00B4691F">
        <w:rPr>
          <w:rFonts w:ascii="新細明體" w:eastAsia="新細明體" w:hAnsi="新細明體" w:cs="新細明體"/>
          <w:color w:val="000000"/>
          <w:kern w:val="0"/>
          <w:szCs w:val="24"/>
        </w:rPr>
        <w:t>SEC</w:t>
      </w:r>
      <w:r w:rsidRPr="00B4691F">
        <w:rPr>
          <w:rFonts w:ascii="新細明體" w:eastAsia="新細明體" w:hAnsi="新細明體" w:cs="新細明體" w:hint="eastAsia"/>
          <w:color w:val="000000"/>
          <w:kern w:val="0"/>
          <w:szCs w:val="24"/>
        </w:rPr>
        <w:t>彙報使用衝突礦物方面的情況。剛果民主共和國近</w:t>
      </w:r>
      <w:r w:rsidRPr="00B4691F">
        <w:rPr>
          <w:rFonts w:ascii="新細明體" w:eastAsia="新細明體" w:hAnsi="新細明體" w:cs="新細明體"/>
          <w:color w:val="000000"/>
          <w:kern w:val="0"/>
          <w:szCs w:val="24"/>
        </w:rPr>
        <w:t>14</w:t>
      </w:r>
      <w:r w:rsidRPr="00B4691F">
        <w:rPr>
          <w:rFonts w:ascii="新細明體" w:eastAsia="新細明體" w:hAnsi="新細明體" w:cs="新細明體" w:hint="eastAsia"/>
          <w:color w:val="000000"/>
          <w:kern w:val="0"/>
          <w:szCs w:val="24"/>
        </w:rPr>
        <w:t>年來內戰持續不斷，戰爭奪去了</w:t>
      </w:r>
      <w:r w:rsidRPr="00B4691F">
        <w:rPr>
          <w:rFonts w:ascii="新細明體" w:eastAsia="新細明體" w:hAnsi="新細明體" w:cs="新細明體"/>
          <w:color w:val="000000"/>
          <w:kern w:val="0"/>
          <w:szCs w:val="24"/>
        </w:rPr>
        <w:t>500</w:t>
      </w:r>
      <w:r w:rsidRPr="00B4691F">
        <w:rPr>
          <w:rFonts w:ascii="新細明體" w:eastAsia="新細明體" w:hAnsi="新細明體" w:cs="新細明體" w:hint="eastAsia"/>
          <w:color w:val="000000"/>
          <w:kern w:val="0"/>
          <w:szCs w:val="24"/>
        </w:rPr>
        <w:t>多萬人的生命。四種衝突礦物廣泛應用於電子製造、珠寶、汽車等製造行業。</w:t>
      </w:r>
    </w:p>
    <w:p w:rsidR="00D74EA9" w:rsidRPr="00B4691F" w:rsidRDefault="00D74EA9" w:rsidP="00D74EA9">
      <w:pPr>
        <w:widowControl/>
        <w:snapToGrid w:val="0"/>
        <w:spacing w:beforeLines="50" w:before="180" w:line="300" w:lineRule="auto"/>
        <w:rPr>
          <w:rFonts w:ascii="新細明體" w:eastAsia="新細明體" w:hAnsi="新細明體" w:cs="新細明體"/>
          <w:color w:val="000000"/>
          <w:kern w:val="0"/>
          <w:szCs w:val="24"/>
        </w:rPr>
      </w:pPr>
      <w:r w:rsidRPr="00B4691F">
        <w:rPr>
          <w:rFonts w:ascii="新細明體" w:eastAsia="新細明體" w:hAnsi="新細明體" w:cs="新細明體"/>
          <w:color w:val="000000"/>
          <w:kern w:val="0"/>
          <w:szCs w:val="24"/>
        </w:rPr>
        <w:t>8</w:t>
      </w:r>
      <w:r w:rsidRPr="00B4691F">
        <w:rPr>
          <w:rFonts w:ascii="新細明體" w:eastAsia="新細明體" w:hAnsi="新細明體" w:cs="新細明體" w:hint="eastAsia"/>
          <w:color w:val="000000"/>
          <w:kern w:val="0"/>
          <w:szCs w:val="24"/>
        </w:rPr>
        <w:t>月</w:t>
      </w:r>
      <w:r w:rsidRPr="00B4691F">
        <w:rPr>
          <w:rFonts w:ascii="新細明體" w:eastAsia="新細明體" w:hAnsi="新細明體" w:cs="新細明體"/>
          <w:color w:val="000000"/>
          <w:kern w:val="0"/>
          <w:szCs w:val="24"/>
        </w:rPr>
        <w:t>15</w:t>
      </w:r>
      <w:r w:rsidRPr="00B4691F">
        <w:rPr>
          <w:rFonts w:ascii="新細明體" w:eastAsia="新細明體" w:hAnsi="新細明體" w:cs="新細明體" w:hint="eastAsia"/>
          <w:color w:val="000000"/>
          <w:kern w:val="0"/>
          <w:szCs w:val="24"/>
        </w:rPr>
        <w:t>日，一份來自</w:t>
      </w:r>
      <w:r w:rsidRPr="00B4691F">
        <w:rPr>
          <w:rFonts w:ascii="新細明體" w:eastAsia="新細明體" w:hAnsi="新細明體" w:cs="新細明體"/>
          <w:color w:val="000000"/>
          <w:kern w:val="0"/>
          <w:szCs w:val="24"/>
        </w:rPr>
        <w:t>NGO</w:t>
      </w:r>
      <w:r w:rsidRPr="00B4691F">
        <w:rPr>
          <w:rFonts w:ascii="新細明體" w:eastAsia="新細明體" w:hAnsi="新細明體" w:cs="新細明體" w:hint="eastAsia"/>
          <w:color w:val="000000"/>
          <w:kern w:val="0"/>
          <w:szCs w:val="24"/>
        </w:rPr>
        <w:t>組織</w:t>
      </w:r>
      <w:r w:rsidRPr="00B4691F">
        <w:rPr>
          <w:rFonts w:ascii="新細明體" w:eastAsia="新細明體" w:hAnsi="新細明體" w:cs="新細明體"/>
          <w:color w:val="000000"/>
          <w:kern w:val="0"/>
          <w:szCs w:val="24"/>
        </w:rPr>
        <w:t>Enough Project</w:t>
      </w:r>
      <w:r w:rsidRPr="00B4691F">
        <w:rPr>
          <w:rFonts w:ascii="新細明體" w:eastAsia="新細明體" w:hAnsi="新細明體" w:cs="新細明體" w:hint="eastAsia"/>
          <w:color w:val="000000"/>
          <w:kern w:val="0"/>
          <w:szCs w:val="24"/>
        </w:rPr>
        <w:t>的一份報告稱，英特爾、摩托羅拉、惠普和蘋果對於放棄在產品中使用鉭、錫</w:t>
      </w:r>
      <w:proofErr w:type="gramStart"/>
      <w:r w:rsidRPr="00B4691F">
        <w:rPr>
          <w:rFonts w:ascii="新細明體" w:eastAsia="新細明體" w:hAnsi="新細明體" w:cs="新細明體" w:hint="eastAsia"/>
          <w:color w:val="000000"/>
          <w:kern w:val="0"/>
          <w:szCs w:val="24"/>
        </w:rPr>
        <w:t>和鎢等衝突</w:t>
      </w:r>
      <w:proofErr w:type="gramEnd"/>
      <w:r w:rsidRPr="00B4691F">
        <w:rPr>
          <w:rFonts w:ascii="新細明體" w:eastAsia="新細明體" w:hAnsi="新細明體" w:cs="新細明體" w:hint="eastAsia"/>
          <w:color w:val="000000"/>
          <w:kern w:val="0"/>
          <w:szCs w:val="24"/>
        </w:rPr>
        <w:t>礦物方面表現突出，其他企業則相對落後。</w:t>
      </w:r>
    </w:p>
    <w:p w:rsidR="00D74EA9" w:rsidRPr="00B4691F" w:rsidRDefault="00D74EA9" w:rsidP="00D74EA9">
      <w:pPr>
        <w:widowControl/>
        <w:snapToGrid w:val="0"/>
        <w:spacing w:beforeLines="50" w:before="180" w:line="300" w:lineRule="auto"/>
        <w:rPr>
          <w:rFonts w:ascii="新細明體" w:eastAsia="新細明體" w:hAnsi="新細明體" w:cs="新細明體"/>
          <w:color w:val="000000"/>
          <w:kern w:val="0"/>
          <w:szCs w:val="24"/>
        </w:rPr>
      </w:pPr>
      <w:r w:rsidRPr="00B4691F">
        <w:rPr>
          <w:rFonts w:ascii="新細明體" w:eastAsia="新細明體" w:hAnsi="新細明體" w:cs="新細明體"/>
          <w:color w:val="000000"/>
          <w:kern w:val="0"/>
          <w:szCs w:val="24"/>
        </w:rPr>
        <w:t>Enough Project</w:t>
      </w:r>
      <w:r w:rsidRPr="00B4691F">
        <w:rPr>
          <w:rFonts w:ascii="新細明體" w:eastAsia="新細明體" w:hAnsi="新細明體" w:cs="新細明體" w:hint="eastAsia"/>
          <w:color w:val="000000"/>
          <w:kern w:val="0"/>
          <w:szCs w:val="24"/>
        </w:rPr>
        <w:t>將任天堂放在其衝突礦物使用排行的最後，同時稱</w:t>
      </w:r>
      <w:r w:rsidRPr="00B4691F">
        <w:rPr>
          <w:rFonts w:ascii="新細明體" w:eastAsia="新細明體" w:hAnsi="新細明體" w:cs="新細明體"/>
          <w:color w:val="000000"/>
          <w:kern w:val="0"/>
          <w:szCs w:val="24"/>
        </w:rPr>
        <w:t>HTC</w:t>
      </w:r>
      <w:r w:rsidRPr="00B4691F">
        <w:rPr>
          <w:rFonts w:ascii="新細明體" w:eastAsia="新細明體" w:hAnsi="新細明體" w:cs="新細明體" w:hint="eastAsia"/>
          <w:color w:val="000000"/>
          <w:kern w:val="0"/>
          <w:szCs w:val="24"/>
        </w:rPr>
        <w:t>、夏普、尼康和佳能在拒絕使用衝突礦物方面也缺乏進展。</w:t>
      </w:r>
    </w:p>
    <w:p w:rsidR="00D74EA9" w:rsidRPr="00B4691F" w:rsidRDefault="00D74EA9" w:rsidP="00D74EA9">
      <w:pPr>
        <w:shd w:val="clear" w:color="auto" w:fill="FFFFFF"/>
        <w:snapToGrid w:val="0"/>
        <w:spacing w:beforeLines="50" w:before="180" w:line="300" w:lineRule="auto"/>
        <w:ind w:right="313"/>
        <w:jc w:val="both"/>
        <w:rPr>
          <w:rFonts w:ascii="Arial" w:hAnsi="Arial" w:cs="Arial"/>
          <w:szCs w:val="24"/>
        </w:rPr>
      </w:pPr>
    </w:p>
    <w:p w:rsidR="00D74EA9" w:rsidRPr="00267662" w:rsidRDefault="00D74EA9" w:rsidP="00D74EA9">
      <w:pPr>
        <w:widowControl/>
        <w:rPr>
          <w:rFonts w:asciiTheme="majorEastAsia" w:eastAsiaTheme="majorEastAsia" w:hAnsiTheme="majorEastAsia" w:cs="新細明體"/>
          <w:b/>
          <w:kern w:val="0"/>
          <w:sz w:val="28"/>
          <w:szCs w:val="28"/>
        </w:rPr>
      </w:pPr>
      <w:r w:rsidRPr="00267662">
        <w:rPr>
          <w:rFonts w:asciiTheme="majorEastAsia" w:eastAsiaTheme="majorEastAsia" w:hAnsiTheme="majorEastAsia" w:cs="新細明體" w:hint="eastAsia"/>
          <w:b/>
          <w:kern w:val="0"/>
          <w:sz w:val="28"/>
          <w:szCs w:val="28"/>
        </w:rPr>
        <w:t>赤道原則修訂版草案向利害關係人諮詢並徵求公眾意見</w:t>
      </w:r>
      <w:r>
        <w:rPr>
          <w:rFonts w:asciiTheme="majorEastAsia" w:eastAsiaTheme="majorEastAsia" w:hAnsiTheme="majorEastAsia" w:cs="新細明體" w:hint="eastAsia"/>
          <w:b/>
          <w:kern w:val="0"/>
          <w:sz w:val="28"/>
          <w:szCs w:val="28"/>
        </w:rPr>
        <w:t>(</w:t>
      </w:r>
      <w:proofErr w:type="spellStart"/>
      <w:r>
        <w:rPr>
          <w:rFonts w:asciiTheme="majorEastAsia" w:eastAsiaTheme="majorEastAsia" w:hAnsiTheme="majorEastAsia" w:cs="新細明體" w:hint="eastAsia"/>
          <w:b/>
          <w:kern w:val="0"/>
          <w:sz w:val="28"/>
          <w:szCs w:val="28"/>
        </w:rPr>
        <w:t>ASrIA</w:t>
      </w:r>
      <w:proofErr w:type="spellEnd"/>
      <w:r>
        <w:rPr>
          <w:rFonts w:asciiTheme="majorEastAsia" w:eastAsiaTheme="majorEastAsia" w:hAnsiTheme="majorEastAsia" w:cs="新細明體" w:hint="eastAsia"/>
          <w:b/>
          <w:kern w:val="0"/>
          <w:sz w:val="28"/>
          <w:szCs w:val="28"/>
        </w:rPr>
        <w:t>, 2012/8/13)</w:t>
      </w:r>
    </w:p>
    <w:p w:rsidR="00D74EA9" w:rsidRPr="00F84DA6" w:rsidRDefault="00D74EA9" w:rsidP="00D74EA9">
      <w:pPr>
        <w:shd w:val="clear" w:color="auto" w:fill="FFFFFF"/>
        <w:snapToGrid w:val="0"/>
        <w:spacing w:beforeLines="50" w:before="180" w:line="300" w:lineRule="auto"/>
        <w:ind w:right="313"/>
        <w:jc w:val="both"/>
        <w:rPr>
          <w:rStyle w:val="a3"/>
          <w:rFonts w:ascii="Times New Roman" w:hAnsi="Times New Roman" w:cs="Times New Roman"/>
        </w:rPr>
      </w:pPr>
      <w:hyperlink r:id="rId11" w:history="1">
        <w:r w:rsidRPr="00F84DA6">
          <w:rPr>
            <w:rStyle w:val="a3"/>
            <w:rFonts w:ascii="Times New Roman" w:hAnsi="Times New Roman" w:cs="Times New Roman"/>
            <w:szCs w:val="24"/>
          </w:rPr>
          <w:t>http://www.asria.org/news/press/1344941368</w:t>
        </w:r>
      </w:hyperlink>
    </w:p>
    <w:p w:rsidR="00D74EA9" w:rsidRPr="00F84DA6" w:rsidRDefault="00D74EA9" w:rsidP="00D74EA9">
      <w:pPr>
        <w:shd w:val="clear" w:color="auto" w:fill="FFFFFF"/>
        <w:snapToGrid w:val="0"/>
        <w:spacing w:beforeLines="50" w:before="180" w:line="300" w:lineRule="auto"/>
        <w:ind w:right="313"/>
        <w:jc w:val="both"/>
        <w:rPr>
          <w:rFonts w:ascii="Times New Roman" w:hAnsi="Times New Roman" w:cs="Times New Roman"/>
          <w:szCs w:val="24"/>
        </w:rPr>
      </w:pPr>
      <w:r w:rsidRPr="00F84DA6">
        <w:rPr>
          <w:rFonts w:ascii="Times New Roman" w:hAnsi="Times New Roman" w:cs="Times New Roman"/>
          <w:szCs w:val="24"/>
        </w:rPr>
        <w:t>赤道原則協會</w:t>
      </w:r>
      <w:r w:rsidRPr="00F84DA6">
        <w:rPr>
          <w:rFonts w:ascii="Times New Roman" w:hAnsi="Times New Roman" w:cs="Times New Roman"/>
          <w:szCs w:val="24"/>
        </w:rPr>
        <w:t>(Equator Principles Association)</w:t>
      </w:r>
      <w:r w:rsidRPr="00F84DA6">
        <w:rPr>
          <w:rFonts w:ascii="Times New Roman" w:hAnsi="Times New Roman" w:cs="Times New Roman"/>
          <w:szCs w:val="24"/>
        </w:rPr>
        <w:t>在</w:t>
      </w:r>
      <w:r w:rsidRPr="00F84DA6">
        <w:rPr>
          <w:rFonts w:ascii="Times New Roman" w:hAnsi="Times New Roman" w:cs="Times New Roman"/>
          <w:szCs w:val="24"/>
        </w:rPr>
        <w:t>8</w:t>
      </w:r>
      <w:r w:rsidRPr="00F84DA6">
        <w:rPr>
          <w:rFonts w:ascii="Times New Roman" w:hAnsi="Times New Roman" w:cs="Times New Roman"/>
          <w:szCs w:val="24"/>
        </w:rPr>
        <w:t>月</w:t>
      </w:r>
      <w:r w:rsidRPr="00F84DA6">
        <w:rPr>
          <w:rFonts w:ascii="Times New Roman" w:hAnsi="Times New Roman" w:cs="Times New Roman"/>
          <w:szCs w:val="24"/>
        </w:rPr>
        <w:t>13</w:t>
      </w:r>
      <w:r w:rsidRPr="00F84DA6">
        <w:rPr>
          <w:rFonts w:ascii="Times New Roman" w:hAnsi="Times New Roman" w:cs="Times New Roman"/>
          <w:szCs w:val="24"/>
        </w:rPr>
        <w:t>日向利害相關人公布了赤道原則修訂辦草案</w:t>
      </w:r>
      <w:r w:rsidRPr="00F84DA6">
        <w:rPr>
          <w:rFonts w:ascii="Times New Roman" w:hAnsi="Times New Roman" w:cs="Times New Roman"/>
          <w:szCs w:val="24"/>
        </w:rPr>
        <w:t>(</w:t>
      </w:r>
      <w:hyperlink r:id="rId12" w:tgtFrame="_blank" w:history="1">
        <w:r w:rsidRPr="00F84DA6">
          <w:rPr>
            <w:rStyle w:val="a3"/>
            <w:rFonts w:ascii="Times New Roman" w:hAnsi="Times New Roman" w:cs="Times New Roman"/>
            <w:color w:val="auto"/>
            <w:szCs w:val="24"/>
          </w:rPr>
          <w:t>draft of the updated Equator Principles (EP III)</w:t>
        </w:r>
      </w:hyperlink>
      <w:r w:rsidRPr="00F84DA6">
        <w:rPr>
          <w:rFonts w:ascii="Times New Roman" w:hAnsi="Times New Roman" w:cs="Times New Roman"/>
          <w:szCs w:val="24"/>
        </w:rPr>
        <w:t>)</w:t>
      </w:r>
      <w:r w:rsidRPr="00F84DA6">
        <w:rPr>
          <w:rFonts w:ascii="Times New Roman" w:hAnsi="Times New Roman" w:cs="Times New Roman"/>
          <w:szCs w:val="24"/>
        </w:rPr>
        <w:t>，向利害關係人進行諮詢並公開徵求意見。赤道原則是一個協助銀行針對專案融資，進行風險辨識、評估與管理的框架，目前全球已有</w:t>
      </w:r>
      <w:r w:rsidRPr="00F84DA6">
        <w:rPr>
          <w:rFonts w:ascii="Times New Roman" w:hAnsi="Times New Roman" w:cs="Times New Roman"/>
          <w:szCs w:val="24"/>
        </w:rPr>
        <w:t>77</w:t>
      </w:r>
      <w:r w:rsidRPr="00F84DA6">
        <w:rPr>
          <w:rFonts w:ascii="Times New Roman" w:hAnsi="Times New Roman" w:cs="Times New Roman"/>
          <w:szCs w:val="24"/>
        </w:rPr>
        <w:t>個金融機構採用赤道原則。</w:t>
      </w:r>
    </w:p>
    <w:p w:rsidR="00D74EA9" w:rsidRPr="00F84DA6" w:rsidRDefault="00D74EA9" w:rsidP="00D74EA9">
      <w:pPr>
        <w:shd w:val="clear" w:color="auto" w:fill="FFFFFF"/>
        <w:snapToGrid w:val="0"/>
        <w:spacing w:beforeLines="50" w:before="180" w:line="300" w:lineRule="auto"/>
        <w:ind w:right="313"/>
        <w:jc w:val="both"/>
        <w:rPr>
          <w:rFonts w:ascii="Times New Roman" w:hAnsi="Times New Roman" w:cs="Times New Roman"/>
          <w:szCs w:val="24"/>
        </w:rPr>
      </w:pPr>
      <w:r w:rsidRPr="00F84DA6">
        <w:rPr>
          <w:rFonts w:ascii="Times New Roman" w:hAnsi="Times New Roman" w:cs="Times New Roman"/>
          <w:szCs w:val="24"/>
        </w:rPr>
        <w:t>赤道原則修訂版</w:t>
      </w:r>
      <w:r w:rsidRPr="00F84DA6">
        <w:rPr>
          <w:rFonts w:ascii="Times New Roman" w:hAnsi="Times New Roman" w:cs="Times New Roman"/>
          <w:szCs w:val="24"/>
        </w:rPr>
        <w:t>(EP III)</w:t>
      </w:r>
      <w:r w:rsidRPr="00F84DA6">
        <w:rPr>
          <w:rFonts w:ascii="Times New Roman" w:hAnsi="Times New Roman" w:cs="Times New Roman"/>
          <w:szCs w:val="24"/>
        </w:rPr>
        <w:t>草案正在進行發展的主要項目包括：</w:t>
      </w:r>
    </w:p>
    <w:p w:rsidR="00D74EA9" w:rsidRPr="00F84DA6" w:rsidRDefault="00D74EA9" w:rsidP="00D74EA9">
      <w:pPr>
        <w:shd w:val="clear" w:color="auto" w:fill="FFFFFF"/>
        <w:tabs>
          <w:tab w:val="num" w:pos="720"/>
        </w:tabs>
        <w:snapToGrid w:val="0"/>
        <w:spacing w:beforeLines="50" w:before="180" w:line="300" w:lineRule="auto"/>
        <w:ind w:left="480" w:right="313" w:hanging="360"/>
        <w:rPr>
          <w:rFonts w:ascii="Times New Roman" w:hAnsi="Times New Roman" w:cs="Times New Roman"/>
          <w:szCs w:val="24"/>
        </w:rPr>
      </w:pPr>
      <w:r w:rsidRPr="00F84DA6">
        <w:rPr>
          <w:rFonts w:ascii="Times New Roman" w:hAnsi="Times New Roman" w:cs="Times New Roman"/>
          <w:szCs w:val="24"/>
        </w:rPr>
        <w:t xml:space="preserve"> </w:t>
      </w:r>
      <w:r w:rsidRPr="00F84DA6">
        <w:rPr>
          <w:rFonts w:ascii="Times New Roman" w:hAnsi="Times New Roman" w:cs="Times New Roman"/>
          <w:szCs w:val="24"/>
        </w:rPr>
        <w:t>將範圍延伸到專案相關的</w:t>
      </w:r>
      <w:proofErr w:type="gramStart"/>
      <w:r w:rsidRPr="00F84DA6">
        <w:rPr>
          <w:rFonts w:ascii="Times New Roman" w:hAnsi="Times New Roman" w:cs="Times New Roman"/>
          <w:szCs w:val="24"/>
        </w:rPr>
        <w:t>境外授</w:t>
      </w:r>
      <w:proofErr w:type="gramEnd"/>
      <w:r w:rsidRPr="00F84DA6">
        <w:rPr>
          <w:rFonts w:ascii="Times New Roman" w:hAnsi="Times New Roman" w:cs="Times New Roman"/>
          <w:szCs w:val="24"/>
        </w:rPr>
        <w:t>信</w:t>
      </w:r>
      <w:r w:rsidRPr="00F84DA6">
        <w:rPr>
          <w:rFonts w:ascii="Times New Roman" w:hAnsi="Times New Roman" w:cs="Times New Roman"/>
          <w:szCs w:val="24"/>
        </w:rPr>
        <w:t>(Corporate Loans)</w:t>
      </w:r>
      <w:r w:rsidRPr="00F84DA6">
        <w:rPr>
          <w:rFonts w:ascii="Times New Roman" w:hAnsi="Times New Roman" w:cs="Times New Roman"/>
          <w:szCs w:val="24"/>
        </w:rPr>
        <w:t>與過渡性貸款</w:t>
      </w:r>
      <w:r w:rsidRPr="00F84DA6">
        <w:rPr>
          <w:rFonts w:ascii="Times New Roman" w:hAnsi="Times New Roman" w:cs="Times New Roman"/>
          <w:szCs w:val="24"/>
        </w:rPr>
        <w:t>(Bridge Loans)</w:t>
      </w:r>
    </w:p>
    <w:p w:rsidR="00D74EA9" w:rsidRPr="00F84DA6" w:rsidRDefault="00D74EA9" w:rsidP="00D74EA9">
      <w:pPr>
        <w:shd w:val="clear" w:color="auto" w:fill="FFFFFF"/>
        <w:tabs>
          <w:tab w:val="num" w:pos="720"/>
        </w:tabs>
        <w:snapToGrid w:val="0"/>
        <w:spacing w:beforeLines="50" w:before="180" w:line="300" w:lineRule="auto"/>
        <w:ind w:left="480" w:right="313" w:hanging="360"/>
        <w:rPr>
          <w:rFonts w:ascii="Times New Roman" w:hAnsi="Times New Roman" w:cs="Times New Roman"/>
          <w:szCs w:val="24"/>
        </w:rPr>
      </w:pPr>
      <w:r w:rsidRPr="00F84DA6">
        <w:rPr>
          <w:rFonts w:ascii="Times New Roman" w:hAnsi="Times New Roman" w:cs="Times New Roman"/>
          <w:szCs w:val="24"/>
        </w:rPr>
        <w:t></w:t>
      </w:r>
      <w:r w:rsidRPr="00F84DA6">
        <w:rPr>
          <w:rFonts w:ascii="Times New Roman" w:hAnsi="Times New Roman" w:cs="Times New Roman"/>
          <w:szCs w:val="24"/>
        </w:rPr>
        <w:t>反應最新的國際金融公司的績效標準</w:t>
      </w:r>
      <w:r w:rsidRPr="00F84DA6">
        <w:rPr>
          <w:rFonts w:ascii="Times New Roman" w:hAnsi="Times New Roman" w:cs="Times New Roman"/>
          <w:szCs w:val="24"/>
        </w:rPr>
        <w:t>(IFC Performance Standard)</w:t>
      </w:r>
      <w:r w:rsidRPr="00F84DA6">
        <w:rPr>
          <w:rFonts w:ascii="Times New Roman" w:hAnsi="Times New Roman" w:cs="Times New Roman"/>
          <w:szCs w:val="24"/>
        </w:rPr>
        <w:t>修訂內容</w:t>
      </w:r>
    </w:p>
    <w:p w:rsidR="00D74EA9" w:rsidRPr="00F84DA6" w:rsidRDefault="00D74EA9" w:rsidP="00D74EA9">
      <w:pPr>
        <w:shd w:val="clear" w:color="auto" w:fill="FFFFFF"/>
        <w:tabs>
          <w:tab w:val="num" w:pos="720"/>
        </w:tabs>
        <w:snapToGrid w:val="0"/>
        <w:spacing w:beforeLines="50" w:before="180" w:line="300" w:lineRule="auto"/>
        <w:ind w:left="480" w:right="313" w:hanging="360"/>
        <w:rPr>
          <w:rFonts w:ascii="Times New Roman" w:hAnsi="Times New Roman" w:cs="Times New Roman"/>
          <w:szCs w:val="24"/>
        </w:rPr>
      </w:pPr>
      <w:r w:rsidRPr="00F84DA6">
        <w:rPr>
          <w:rFonts w:ascii="Times New Roman" w:hAnsi="Times New Roman" w:cs="Times New Roman"/>
          <w:szCs w:val="24"/>
        </w:rPr>
        <w:t xml:space="preserve"> </w:t>
      </w:r>
      <w:r w:rsidRPr="00F84DA6">
        <w:rPr>
          <w:rFonts w:ascii="Times New Roman" w:hAnsi="Times New Roman" w:cs="Times New Roman"/>
          <w:szCs w:val="24"/>
        </w:rPr>
        <w:t>管理氣候衝擊的相關新要求</w:t>
      </w:r>
    </w:p>
    <w:p w:rsidR="00D74EA9" w:rsidRPr="00F84DA6" w:rsidRDefault="00D74EA9" w:rsidP="00D74EA9">
      <w:pPr>
        <w:shd w:val="clear" w:color="auto" w:fill="FFFFFF"/>
        <w:tabs>
          <w:tab w:val="num" w:pos="720"/>
        </w:tabs>
        <w:snapToGrid w:val="0"/>
        <w:spacing w:beforeLines="50" w:before="180" w:line="300" w:lineRule="auto"/>
        <w:ind w:left="480" w:right="313" w:hanging="360"/>
        <w:rPr>
          <w:rFonts w:ascii="Times New Roman" w:hAnsi="Times New Roman" w:cs="Times New Roman"/>
          <w:szCs w:val="24"/>
        </w:rPr>
      </w:pPr>
      <w:r w:rsidRPr="00F84DA6">
        <w:rPr>
          <w:rFonts w:ascii="Times New Roman" w:hAnsi="Times New Roman" w:cs="Times New Roman"/>
          <w:szCs w:val="24"/>
        </w:rPr>
        <w:t></w:t>
      </w:r>
      <w:r w:rsidRPr="00F84DA6">
        <w:rPr>
          <w:rFonts w:ascii="Times New Roman" w:hAnsi="Times New Roman" w:cs="Times New Roman"/>
          <w:szCs w:val="24"/>
        </w:rPr>
        <w:t>更大力強調對於人權考量進行實地審查，並認可聯合國的</w:t>
      </w:r>
      <w:r>
        <w:fldChar w:fldCharType="begin"/>
      </w:r>
      <w:r>
        <w:instrText xml:space="preserve"> HYPERLINK "http://www.reports-and-materials.org/Ruggie-report-7-Apr-2008.pdf" \t "_blank" </w:instrText>
      </w:r>
      <w:r>
        <w:fldChar w:fldCharType="separate"/>
      </w:r>
      <w:r w:rsidRPr="00F84DA6">
        <w:rPr>
          <w:rStyle w:val="a3"/>
          <w:rFonts w:ascii="Times New Roman" w:hAnsi="Times New Roman" w:cs="Times New Roman"/>
          <w:color w:val="auto"/>
          <w:szCs w:val="24"/>
        </w:rPr>
        <w:t>UN "Protect, Respect and Remedy" Framework for Business and Human Rights</w:t>
      </w:r>
      <w:r>
        <w:rPr>
          <w:rStyle w:val="a3"/>
          <w:rFonts w:ascii="Times New Roman" w:hAnsi="Times New Roman" w:cs="Times New Roman"/>
          <w:color w:val="auto"/>
          <w:szCs w:val="24"/>
        </w:rPr>
        <w:fldChar w:fldCharType="end"/>
      </w:r>
      <w:r w:rsidRPr="00F84DA6">
        <w:rPr>
          <w:rFonts w:ascii="Times New Roman" w:hAnsi="Times New Roman" w:cs="Times New Roman"/>
          <w:szCs w:val="24"/>
        </w:rPr>
        <w:t xml:space="preserve"> and </w:t>
      </w:r>
      <w:hyperlink r:id="rId13" w:tgtFrame="_blank" w:history="1">
        <w:r w:rsidRPr="00F84DA6">
          <w:rPr>
            <w:rStyle w:val="a3"/>
            <w:rFonts w:ascii="Times New Roman" w:hAnsi="Times New Roman" w:cs="Times New Roman"/>
            <w:color w:val="auto"/>
            <w:szCs w:val="24"/>
          </w:rPr>
          <w:t>Guiding Principles on Business and Human Rights</w:t>
        </w:r>
      </w:hyperlink>
      <w:r w:rsidRPr="00F84DA6">
        <w:rPr>
          <w:rFonts w:ascii="Times New Roman" w:hAnsi="Times New Roman" w:cs="Times New Roman"/>
          <w:szCs w:val="24"/>
        </w:rPr>
        <w:t>這</w:t>
      </w:r>
      <w:proofErr w:type="gramStart"/>
      <w:r w:rsidRPr="00F84DA6">
        <w:rPr>
          <w:rFonts w:ascii="Times New Roman" w:hAnsi="Times New Roman" w:cs="Times New Roman"/>
          <w:szCs w:val="24"/>
        </w:rPr>
        <w:t>這</w:t>
      </w:r>
      <w:proofErr w:type="gramEnd"/>
      <w:r w:rsidRPr="00F84DA6">
        <w:rPr>
          <w:rFonts w:ascii="Times New Roman" w:hAnsi="Times New Roman" w:cs="Times New Roman"/>
          <w:szCs w:val="24"/>
        </w:rPr>
        <w:t>份文件</w:t>
      </w:r>
    </w:p>
    <w:p w:rsidR="00D74EA9" w:rsidRPr="00F84DA6" w:rsidRDefault="00D74EA9" w:rsidP="00D74EA9">
      <w:pPr>
        <w:shd w:val="clear" w:color="auto" w:fill="FFFFFF"/>
        <w:tabs>
          <w:tab w:val="num" w:pos="720"/>
        </w:tabs>
        <w:snapToGrid w:val="0"/>
        <w:spacing w:beforeLines="50" w:before="180" w:line="300" w:lineRule="auto"/>
        <w:ind w:left="480" w:right="313" w:hanging="360"/>
        <w:rPr>
          <w:rFonts w:ascii="Times New Roman" w:hAnsi="Times New Roman" w:cs="Times New Roman"/>
          <w:szCs w:val="24"/>
        </w:rPr>
      </w:pPr>
      <w:r w:rsidRPr="00F84DA6">
        <w:rPr>
          <w:rFonts w:ascii="Times New Roman" w:hAnsi="Times New Roman" w:cs="Times New Roman"/>
          <w:szCs w:val="24"/>
        </w:rPr>
        <w:t>.</w:t>
      </w:r>
      <w:r w:rsidRPr="00F84DA6">
        <w:rPr>
          <w:rFonts w:ascii="Times New Roman" w:hAnsi="Times New Roman" w:cs="Times New Roman"/>
          <w:szCs w:val="24"/>
        </w:rPr>
        <w:t>報告與透明度要求的強化</w:t>
      </w:r>
    </w:p>
    <w:p w:rsidR="00D74EA9" w:rsidRPr="00F84DA6" w:rsidRDefault="00D74EA9" w:rsidP="00D74EA9">
      <w:pPr>
        <w:shd w:val="clear" w:color="auto" w:fill="FFFFFF"/>
        <w:snapToGrid w:val="0"/>
        <w:spacing w:beforeLines="50" w:before="180" w:line="300" w:lineRule="auto"/>
        <w:ind w:right="313"/>
        <w:jc w:val="both"/>
        <w:rPr>
          <w:rFonts w:ascii="Times New Roman" w:hAnsi="Times New Roman" w:cs="Times New Roman"/>
          <w:szCs w:val="24"/>
        </w:rPr>
      </w:pPr>
      <w:r w:rsidRPr="00F84DA6">
        <w:rPr>
          <w:rFonts w:ascii="Times New Roman" w:hAnsi="Times New Roman" w:cs="Times New Roman"/>
          <w:szCs w:val="24"/>
        </w:rPr>
        <w:t>正式的利害關係人諮商與公共意見徵求將持續進行</w:t>
      </w:r>
      <w:r w:rsidRPr="00F84DA6">
        <w:rPr>
          <w:rFonts w:ascii="Times New Roman" w:hAnsi="Times New Roman" w:cs="Times New Roman"/>
          <w:szCs w:val="24"/>
        </w:rPr>
        <w:t>60</w:t>
      </w:r>
      <w:r w:rsidRPr="00F84DA6">
        <w:rPr>
          <w:rFonts w:ascii="Times New Roman" w:hAnsi="Times New Roman" w:cs="Times New Roman"/>
          <w:szCs w:val="24"/>
        </w:rPr>
        <w:t>天，赤道原則協會將</w:t>
      </w:r>
      <w:proofErr w:type="gramStart"/>
      <w:r w:rsidRPr="00F84DA6">
        <w:rPr>
          <w:rFonts w:ascii="Times New Roman" w:hAnsi="Times New Roman" w:cs="Times New Roman"/>
          <w:szCs w:val="24"/>
        </w:rPr>
        <w:t>秉持著</w:t>
      </w:r>
      <w:proofErr w:type="gramEnd"/>
      <w:r w:rsidRPr="00F84DA6">
        <w:rPr>
          <w:rFonts w:ascii="Times New Roman" w:hAnsi="Times New Roman" w:cs="Times New Roman"/>
          <w:szCs w:val="24"/>
        </w:rPr>
        <w:t>開放、透明與充分回應的態度來考量所有利害相關人的回饋。赤道原則修訂版草案及針對此一利害關係</w:t>
      </w:r>
      <w:proofErr w:type="gramStart"/>
      <w:r w:rsidRPr="00F84DA6">
        <w:rPr>
          <w:rFonts w:ascii="Times New Roman" w:hAnsi="Times New Roman" w:cs="Times New Roman"/>
          <w:szCs w:val="24"/>
        </w:rPr>
        <w:t>人議合並</w:t>
      </w:r>
      <w:proofErr w:type="gramEnd"/>
      <w:r w:rsidRPr="00F84DA6">
        <w:rPr>
          <w:rFonts w:ascii="Times New Roman" w:hAnsi="Times New Roman" w:cs="Times New Roman"/>
          <w:szCs w:val="24"/>
        </w:rPr>
        <w:t>徵求公眾意見的常見問答集等文件，有興趣的讀者可在赤道原則網站下載：</w:t>
      </w:r>
      <w:hyperlink r:id="rId14" w:history="1">
        <w:r w:rsidRPr="00F84DA6">
          <w:rPr>
            <w:rStyle w:val="a3"/>
            <w:rFonts w:ascii="Times New Roman" w:hAnsi="Times New Roman" w:cs="Times New Roman"/>
            <w:szCs w:val="24"/>
          </w:rPr>
          <w:t>http://www.equator-principles.com/index.php/EP3</w:t>
        </w:r>
      </w:hyperlink>
      <w:r w:rsidRPr="00F84DA6">
        <w:rPr>
          <w:rStyle w:val="a3"/>
          <w:rFonts w:ascii="Times New Roman" w:hAnsi="Times New Roman" w:cs="Times New Roman"/>
        </w:rPr>
        <w:t>.</w:t>
      </w:r>
    </w:p>
    <w:p w:rsidR="00D74EA9" w:rsidRDefault="00D74EA9" w:rsidP="00D74EA9">
      <w:pPr>
        <w:shd w:val="clear" w:color="auto" w:fill="FFFFFF"/>
        <w:snapToGrid w:val="0"/>
        <w:spacing w:beforeLines="50" w:before="180" w:line="300" w:lineRule="auto"/>
        <w:ind w:right="313"/>
        <w:jc w:val="both"/>
        <w:rPr>
          <w:rFonts w:ascii="Arial" w:hAnsi="Arial" w:cs="Arial"/>
          <w:szCs w:val="24"/>
        </w:rPr>
      </w:pPr>
    </w:p>
    <w:p w:rsidR="00D74EA9" w:rsidRPr="00E654AC" w:rsidRDefault="00D74EA9" w:rsidP="00D74EA9">
      <w:pPr>
        <w:widowControl/>
        <w:rPr>
          <w:rFonts w:asciiTheme="majorEastAsia" w:eastAsiaTheme="majorEastAsia" w:hAnsiTheme="majorEastAsia" w:cs="新細明體"/>
          <w:b/>
          <w:kern w:val="0"/>
          <w:sz w:val="28"/>
          <w:szCs w:val="28"/>
        </w:rPr>
      </w:pPr>
      <w:r w:rsidRPr="00E654AC">
        <w:rPr>
          <w:rFonts w:asciiTheme="majorEastAsia" w:eastAsiaTheme="majorEastAsia" w:hAnsiTheme="majorEastAsia" w:cs="新細明體"/>
          <w:b/>
          <w:kern w:val="0"/>
          <w:sz w:val="28"/>
          <w:szCs w:val="28"/>
        </w:rPr>
        <w:t>PRI</w:t>
      </w:r>
      <w:r w:rsidRPr="00E654AC">
        <w:rPr>
          <w:rFonts w:asciiTheme="majorEastAsia" w:eastAsiaTheme="majorEastAsia" w:hAnsiTheme="majorEastAsia" w:cs="新細明體" w:hint="eastAsia"/>
          <w:b/>
          <w:kern w:val="0"/>
          <w:sz w:val="28"/>
          <w:szCs w:val="28"/>
        </w:rPr>
        <w:t>發佈可持續投資案例</w:t>
      </w:r>
      <w:r>
        <w:rPr>
          <w:rFonts w:asciiTheme="majorEastAsia" w:eastAsiaTheme="majorEastAsia" w:hAnsiTheme="majorEastAsia" w:cs="新細明體" w:hint="eastAsia"/>
          <w:b/>
          <w:kern w:val="0"/>
          <w:sz w:val="28"/>
          <w:szCs w:val="28"/>
        </w:rPr>
        <w:t>(Socialfunds.</w:t>
      </w:r>
      <w:proofErr w:type="gramStart"/>
      <w:r>
        <w:rPr>
          <w:rFonts w:asciiTheme="majorEastAsia" w:eastAsiaTheme="majorEastAsia" w:hAnsiTheme="majorEastAsia" w:cs="新細明體" w:hint="eastAsia"/>
          <w:b/>
          <w:kern w:val="0"/>
          <w:sz w:val="28"/>
          <w:szCs w:val="28"/>
        </w:rPr>
        <w:t>com</w:t>
      </w:r>
      <w:proofErr w:type="gramEnd"/>
      <w:r>
        <w:rPr>
          <w:rFonts w:asciiTheme="majorEastAsia" w:eastAsiaTheme="majorEastAsia" w:hAnsiTheme="majorEastAsia" w:cs="新細明體" w:hint="eastAsia"/>
          <w:b/>
          <w:kern w:val="0"/>
          <w:sz w:val="28"/>
          <w:szCs w:val="28"/>
        </w:rPr>
        <w:t>, 2012/7/27)</w:t>
      </w:r>
    </w:p>
    <w:p w:rsidR="00D74EA9" w:rsidRPr="00F84DA6" w:rsidRDefault="00D74EA9" w:rsidP="00D74EA9">
      <w:pPr>
        <w:shd w:val="clear" w:color="auto" w:fill="FFFFFF"/>
        <w:snapToGrid w:val="0"/>
        <w:spacing w:beforeLines="50" w:before="180" w:line="300" w:lineRule="auto"/>
        <w:ind w:right="313"/>
        <w:jc w:val="both"/>
        <w:rPr>
          <w:rFonts w:ascii="Times New Roman" w:hAnsi="Times New Roman" w:cs="Times New Roman"/>
          <w:szCs w:val="24"/>
        </w:rPr>
      </w:pPr>
      <w:hyperlink r:id="rId15" w:history="1">
        <w:r w:rsidRPr="00F84DA6">
          <w:rPr>
            <w:rStyle w:val="a3"/>
            <w:rFonts w:ascii="Times New Roman" w:hAnsi="Times New Roman" w:cs="Times New Roman"/>
            <w:szCs w:val="24"/>
          </w:rPr>
          <w:t>http://www.socialfunds.com/news/article.cgi/3589.html</w:t>
        </w:r>
      </w:hyperlink>
    </w:p>
    <w:p w:rsidR="00D74EA9" w:rsidRPr="00F84DA6" w:rsidRDefault="00D74EA9" w:rsidP="00D74EA9">
      <w:pPr>
        <w:snapToGrid w:val="0"/>
        <w:spacing w:beforeLines="50" w:before="180" w:line="300" w:lineRule="auto"/>
        <w:rPr>
          <w:rFonts w:ascii="Times New Roman" w:hAnsi="Times New Roman" w:cs="Times New Roman"/>
          <w:szCs w:val="24"/>
        </w:rPr>
      </w:pPr>
      <w:r w:rsidRPr="00F84DA6">
        <w:rPr>
          <w:rFonts w:ascii="Times New Roman" w:hAnsi="Times New Roman" w:cs="Times New Roman"/>
          <w:szCs w:val="24"/>
        </w:rPr>
        <w:lastRenderedPageBreak/>
        <w:t>一份由加州公務員退休系統（</w:t>
      </w:r>
      <w:r>
        <w:fldChar w:fldCharType="begin"/>
      </w:r>
      <w:r>
        <w:instrText xml:space="preserve"> HYPERLINK "http://www.calpers.ca.gov/" </w:instrText>
      </w:r>
      <w:r>
        <w:fldChar w:fldCharType="separate"/>
      </w:r>
      <w:r w:rsidRPr="00F84DA6">
        <w:rPr>
          <w:rFonts w:ascii="Times New Roman" w:hAnsi="Times New Roman" w:cs="Times New Roman"/>
          <w:szCs w:val="24"/>
        </w:rPr>
        <w:t>CalPERS</w:t>
      </w:r>
      <w:r>
        <w:rPr>
          <w:rFonts w:ascii="Times New Roman" w:hAnsi="Times New Roman" w:cs="Times New Roman"/>
          <w:szCs w:val="24"/>
        </w:rPr>
        <w:fldChar w:fldCharType="end"/>
      </w:r>
      <w:r w:rsidRPr="00F84DA6">
        <w:rPr>
          <w:rFonts w:ascii="Times New Roman" w:hAnsi="Times New Roman" w:cs="Times New Roman"/>
          <w:szCs w:val="24"/>
        </w:rPr>
        <w:t>），和其它聯合國責任投資原則（</w:t>
      </w:r>
      <w:r w:rsidRPr="00F84DA6">
        <w:rPr>
          <w:rFonts w:ascii="Times New Roman" w:hAnsi="Times New Roman" w:cs="Times New Roman"/>
          <w:szCs w:val="24"/>
        </w:rPr>
        <w:t>PRI</w:t>
      </w:r>
      <w:r w:rsidRPr="00F84DA6">
        <w:rPr>
          <w:rFonts w:ascii="Times New Roman" w:hAnsi="Times New Roman" w:cs="Times New Roman"/>
          <w:szCs w:val="24"/>
        </w:rPr>
        <w:t>）的簽署機構共同發佈的報告，不僅提供了基於責任投資原則的可持續投資案例，還建議政府頒</w:t>
      </w:r>
      <w:proofErr w:type="gramStart"/>
      <w:r w:rsidRPr="00F84DA6">
        <w:rPr>
          <w:rFonts w:ascii="Times New Roman" w:hAnsi="Times New Roman" w:cs="Times New Roman"/>
          <w:szCs w:val="24"/>
        </w:rPr>
        <w:t>佈</w:t>
      </w:r>
      <w:proofErr w:type="gramEnd"/>
      <w:r w:rsidRPr="00F84DA6">
        <w:rPr>
          <w:rFonts w:ascii="Times New Roman" w:hAnsi="Times New Roman" w:cs="Times New Roman"/>
          <w:szCs w:val="24"/>
        </w:rPr>
        <w:t>相關政策降低該類投資的風險。</w:t>
      </w:r>
    </w:p>
    <w:p w:rsidR="00D74EA9" w:rsidRPr="00F84DA6" w:rsidRDefault="00D74EA9" w:rsidP="00D74EA9">
      <w:pPr>
        <w:snapToGrid w:val="0"/>
        <w:spacing w:beforeLines="50" w:before="180" w:line="300" w:lineRule="auto"/>
        <w:rPr>
          <w:rFonts w:ascii="Times New Roman" w:hAnsi="Times New Roman" w:cs="Times New Roman"/>
          <w:szCs w:val="24"/>
        </w:rPr>
      </w:pPr>
      <w:r w:rsidRPr="00F84DA6">
        <w:rPr>
          <w:rFonts w:ascii="Times New Roman" w:hAnsi="Times New Roman" w:cs="Times New Roman"/>
          <w:szCs w:val="24"/>
        </w:rPr>
        <w:t>在報告中，</w:t>
      </w:r>
      <w:r w:rsidRPr="00F84DA6">
        <w:rPr>
          <w:rFonts w:ascii="Times New Roman" w:hAnsi="Times New Roman" w:cs="Times New Roman"/>
          <w:szCs w:val="24"/>
        </w:rPr>
        <w:t>PRI</w:t>
      </w:r>
      <w:r w:rsidRPr="00F84DA6">
        <w:rPr>
          <w:rFonts w:ascii="Times New Roman" w:hAnsi="Times New Roman" w:cs="Times New Roman"/>
          <w:szCs w:val="24"/>
        </w:rPr>
        <w:t>提供了幾個機構的可持續投資案例。大多數案例中，在綠色科技、小額信貸和</w:t>
      </w:r>
      <w:proofErr w:type="gramStart"/>
      <w:r w:rsidRPr="00F84DA6">
        <w:rPr>
          <w:rFonts w:ascii="Times New Roman" w:hAnsi="Times New Roman" w:cs="Times New Roman"/>
          <w:szCs w:val="24"/>
        </w:rPr>
        <w:t>可</w:t>
      </w:r>
      <w:proofErr w:type="gramEnd"/>
      <w:r w:rsidRPr="00F84DA6">
        <w:rPr>
          <w:rFonts w:ascii="Times New Roman" w:hAnsi="Times New Roman" w:cs="Times New Roman"/>
          <w:szCs w:val="24"/>
        </w:rPr>
        <w:t>持續農林業上的資金都只佔據投資者管理資產的很小一部分。但是，這份報告指出，投資者們</w:t>
      </w:r>
      <w:r w:rsidRPr="00F84DA6">
        <w:rPr>
          <w:rFonts w:ascii="Times New Roman" w:hAnsi="Times New Roman" w:cs="Times New Roman"/>
          <w:szCs w:val="24"/>
        </w:rPr>
        <w:t>“</w:t>
      </w:r>
      <w:r w:rsidRPr="00F84DA6">
        <w:rPr>
          <w:rFonts w:ascii="Times New Roman" w:hAnsi="Times New Roman" w:cs="Times New Roman"/>
          <w:szCs w:val="24"/>
        </w:rPr>
        <w:t>已經發現這些投資的風險並不如他們一開始預想的高，因此這些投資可以產生良好的財務收益。</w:t>
      </w:r>
      <w:r w:rsidRPr="00F84DA6">
        <w:rPr>
          <w:rFonts w:ascii="Times New Roman" w:hAnsi="Times New Roman" w:cs="Times New Roman"/>
          <w:szCs w:val="24"/>
        </w:rPr>
        <w:t>”</w:t>
      </w:r>
    </w:p>
    <w:p w:rsidR="00D74EA9" w:rsidRPr="00F84DA6" w:rsidRDefault="00D74EA9" w:rsidP="00D74EA9">
      <w:pPr>
        <w:snapToGrid w:val="0"/>
        <w:spacing w:beforeLines="50" w:before="180" w:line="300" w:lineRule="auto"/>
        <w:rPr>
          <w:rFonts w:ascii="Times New Roman" w:hAnsi="Times New Roman" w:cs="Times New Roman"/>
          <w:szCs w:val="24"/>
        </w:rPr>
      </w:pPr>
      <w:r w:rsidRPr="00F84DA6">
        <w:rPr>
          <w:rFonts w:ascii="Times New Roman" w:hAnsi="Times New Roman" w:cs="Times New Roman"/>
          <w:szCs w:val="24"/>
        </w:rPr>
        <w:t>其中一個案例是關於美國最大的退休金基金</w:t>
      </w:r>
      <w:proofErr w:type="spellStart"/>
      <w:r w:rsidRPr="00F84DA6">
        <w:rPr>
          <w:rFonts w:ascii="Times New Roman" w:hAnsi="Times New Roman" w:cs="Times New Roman"/>
          <w:szCs w:val="24"/>
        </w:rPr>
        <w:t>CalPERS</w:t>
      </w:r>
      <w:proofErr w:type="spellEnd"/>
      <w:r w:rsidRPr="00F84DA6">
        <w:rPr>
          <w:rFonts w:ascii="Times New Roman" w:hAnsi="Times New Roman" w:cs="Times New Roman"/>
          <w:szCs w:val="24"/>
        </w:rPr>
        <w:t>的可持續投資。目前，</w:t>
      </w:r>
      <w:proofErr w:type="spellStart"/>
      <w:r w:rsidRPr="00F84DA6">
        <w:rPr>
          <w:rFonts w:ascii="Times New Roman" w:hAnsi="Times New Roman" w:cs="Times New Roman"/>
          <w:szCs w:val="24"/>
        </w:rPr>
        <w:t>CalPERS</w:t>
      </w:r>
      <w:proofErr w:type="spellEnd"/>
      <w:r w:rsidRPr="00F84DA6">
        <w:rPr>
          <w:rFonts w:ascii="Times New Roman" w:hAnsi="Times New Roman" w:cs="Times New Roman"/>
          <w:szCs w:val="24"/>
        </w:rPr>
        <w:t>管理的資金高達</w:t>
      </w:r>
      <w:r w:rsidRPr="00F84DA6">
        <w:rPr>
          <w:rFonts w:ascii="Times New Roman" w:hAnsi="Times New Roman" w:cs="Times New Roman"/>
          <w:szCs w:val="24"/>
        </w:rPr>
        <w:t>2300</w:t>
      </w:r>
      <w:r w:rsidRPr="00F84DA6">
        <w:rPr>
          <w:rFonts w:ascii="Times New Roman" w:hAnsi="Times New Roman" w:cs="Times New Roman"/>
          <w:szCs w:val="24"/>
        </w:rPr>
        <w:t>億美元，在另類投資管理上投入了</w:t>
      </w:r>
      <w:r w:rsidRPr="00F84DA6">
        <w:rPr>
          <w:rFonts w:ascii="Times New Roman" w:hAnsi="Times New Roman" w:cs="Times New Roman"/>
          <w:szCs w:val="24"/>
        </w:rPr>
        <w:t>12</w:t>
      </w:r>
      <w:r w:rsidRPr="00F84DA6">
        <w:rPr>
          <w:rFonts w:ascii="Times New Roman" w:hAnsi="Times New Roman" w:cs="Times New Roman"/>
          <w:szCs w:val="24"/>
        </w:rPr>
        <w:t>億美元，主要涉及可替代能源，特別是生物能源和太陽能。</w:t>
      </w:r>
    </w:p>
    <w:p w:rsidR="00D74EA9" w:rsidRPr="00F84DA6" w:rsidRDefault="00D74EA9" w:rsidP="00D74EA9">
      <w:pPr>
        <w:snapToGrid w:val="0"/>
        <w:spacing w:beforeLines="50" w:before="180" w:line="300" w:lineRule="auto"/>
        <w:rPr>
          <w:rFonts w:ascii="Times New Roman" w:hAnsi="Times New Roman" w:cs="Times New Roman"/>
          <w:szCs w:val="24"/>
        </w:rPr>
      </w:pPr>
      <w:r w:rsidRPr="00F84DA6">
        <w:rPr>
          <w:rFonts w:ascii="Times New Roman" w:hAnsi="Times New Roman" w:cs="Times New Roman"/>
          <w:szCs w:val="24"/>
        </w:rPr>
        <w:t>在</w:t>
      </w:r>
      <w:r w:rsidRPr="00F84DA6">
        <w:rPr>
          <w:rFonts w:ascii="Times New Roman" w:hAnsi="Times New Roman" w:cs="Times New Roman"/>
          <w:szCs w:val="24"/>
        </w:rPr>
        <w:t>2010</w:t>
      </w:r>
      <w:r w:rsidRPr="00F84DA6">
        <w:rPr>
          <w:rFonts w:ascii="Times New Roman" w:hAnsi="Times New Roman" w:cs="Times New Roman"/>
          <w:szCs w:val="24"/>
        </w:rPr>
        <w:t>年，</w:t>
      </w:r>
      <w:proofErr w:type="spellStart"/>
      <w:r w:rsidRPr="00F84DA6">
        <w:rPr>
          <w:rFonts w:ascii="Times New Roman" w:hAnsi="Times New Roman" w:cs="Times New Roman"/>
          <w:szCs w:val="24"/>
        </w:rPr>
        <w:t>CalPERS</w:t>
      </w:r>
      <w:proofErr w:type="spellEnd"/>
      <w:r w:rsidRPr="00F84DA6">
        <w:rPr>
          <w:rFonts w:ascii="Times New Roman" w:hAnsi="Times New Roman" w:cs="Times New Roman"/>
          <w:szCs w:val="24"/>
        </w:rPr>
        <w:t>投資給一個自我管理的環境指數基金</w:t>
      </w:r>
      <w:r w:rsidRPr="00F84DA6">
        <w:rPr>
          <w:rFonts w:ascii="Times New Roman" w:hAnsi="Times New Roman" w:cs="Times New Roman"/>
          <w:szCs w:val="24"/>
        </w:rPr>
        <w:t>5</w:t>
      </w:r>
      <w:proofErr w:type="gramStart"/>
      <w:r w:rsidRPr="00F84DA6">
        <w:rPr>
          <w:rFonts w:ascii="Times New Roman" w:hAnsi="Times New Roman" w:cs="Times New Roman"/>
          <w:szCs w:val="24"/>
        </w:rPr>
        <w:t>千萬</w:t>
      </w:r>
      <w:proofErr w:type="gramEnd"/>
      <w:r w:rsidRPr="00F84DA6">
        <w:rPr>
          <w:rFonts w:ascii="Times New Roman" w:hAnsi="Times New Roman" w:cs="Times New Roman"/>
          <w:szCs w:val="24"/>
        </w:rPr>
        <w:t>美元。該基金對世界範圍內的大概</w:t>
      </w:r>
      <w:r w:rsidRPr="00F84DA6">
        <w:rPr>
          <w:rFonts w:ascii="Times New Roman" w:hAnsi="Times New Roman" w:cs="Times New Roman"/>
          <w:szCs w:val="24"/>
        </w:rPr>
        <w:t>380</w:t>
      </w:r>
      <w:r w:rsidRPr="00F84DA6">
        <w:rPr>
          <w:rFonts w:ascii="Times New Roman" w:hAnsi="Times New Roman" w:cs="Times New Roman"/>
          <w:szCs w:val="24"/>
        </w:rPr>
        <w:t>個證券進行投資，而這些證券也在低碳能源生產、能源效率管理和</w:t>
      </w:r>
      <w:proofErr w:type="gramStart"/>
      <w:r w:rsidRPr="00F84DA6">
        <w:rPr>
          <w:rFonts w:ascii="Times New Roman" w:hAnsi="Times New Roman" w:cs="Times New Roman"/>
          <w:szCs w:val="24"/>
        </w:rPr>
        <w:t>碳交易</w:t>
      </w:r>
      <w:proofErr w:type="gramEnd"/>
      <w:r w:rsidRPr="00F84DA6">
        <w:rPr>
          <w:rFonts w:ascii="Times New Roman" w:hAnsi="Times New Roman" w:cs="Times New Roman"/>
          <w:szCs w:val="24"/>
        </w:rPr>
        <w:t>等領域獲得了可觀收益，從而為該基金提供了大量收入。</w:t>
      </w:r>
    </w:p>
    <w:p w:rsidR="00D74EA9" w:rsidRPr="00F84DA6" w:rsidRDefault="00D74EA9" w:rsidP="00D74EA9">
      <w:pPr>
        <w:snapToGrid w:val="0"/>
        <w:spacing w:beforeLines="50" w:before="180" w:line="300" w:lineRule="auto"/>
        <w:rPr>
          <w:rFonts w:ascii="Times New Roman" w:hAnsi="Times New Roman" w:cs="Times New Roman"/>
          <w:szCs w:val="24"/>
        </w:rPr>
      </w:pPr>
      <w:r w:rsidRPr="00F84DA6">
        <w:rPr>
          <w:rFonts w:ascii="Times New Roman" w:hAnsi="Times New Roman" w:cs="Times New Roman"/>
          <w:szCs w:val="24"/>
        </w:rPr>
        <w:t>報告宣稱，</w:t>
      </w:r>
      <w:r w:rsidRPr="00F84DA6">
        <w:rPr>
          <w:rFonts w:ascii="Times New Roman" w:hAnsi="Times New Roman" w:cs="Times New Roman"/>
          <w:szCs w:val="24"/>
        </w:rPr>
        <w:t>“</w:t>
      </w:r>
      <w:r w:rsidRPr="00F84DA6">
        <w:rPr>
          <w:rFonts w:ascii="Times New Roman" w:hAnsi="Times New Roman" w:cs="Times New Roman"/>
          <w:szCs w:val="24"/>
        </w:rPr>
        <w:t>所有接受採訪的個人、團體、機構都表示政府減低投資風險對決策起到關鍵的作用。</w:t>
      </w:r>
      <w:r w:rsidRPr="00F84DA6">
        <w:rPr>
          <w:rFonts w:ascii="Times New Roman" w:hAnsi="Times New Roman" w:cs="Times New Roman"/>
          <w:szCs w:val="24"/>
        </w:rPr>
        <w:t>”</w:t>
      </w:r>
      <w:r w:rsidRPr="00F84DA6">
        <w:rPr>
          <w:rFonts w:ascii="Times New Roman" w:hAnsi="Times New Roman" w:cs="Times New Roman"/>
          <w:szCs w:val="24"/>
        </w:rPr>
        <w:t>但是縱然仍然有許多障礙和困難，具有吸引力的投資機會早已出現。有些投資者和政策制定者正在力求克服困難，在為世界低碳經濟做貢獻的同時取得財務收益。</w:t>
      </w:r>
    </w:p>
    <w:p w:rsidR="00D74EA9" w:rsidRPr="00D74EA9" w:rsidRDefault="00D74EA9" w:rsidP="00267662">
      <w:pPr>
        <w:widowControl/>
        <w:jc w:val="center"/>
        <w:rPr>
          <w:rFonts w:asciiTheme="majorEastAsia" w:eastAsiaTheme="majorEastAsia" w:hAnsiTheme="majorEastAsia" w:cs="新細明體" w:hint="eastAsia"/>
          <w:b/>
          <w:kern w:val="0"/>
          <w:sz w:val="28"/>
          <w:szCs w:val="28"/>
        </w:rPr>
      </w:pPr>
    </w:p>
    <w:p w:rsidR="004E3A7C" w:rsidRPr="00267662" w:rsidRDefault="004E3A7C" w:rsidP="00D74EA9">
      <w:pPr>
        <w:widowControl/>
        <w:rPr>
          <w:rFonts w:asciiTheme="majorEastAsia" w:eastAsiaTheme="majorEastAsia" w:hAnsiTheme="majorEastAsia" w:cs="新細明體"/>
          <w:b/>
          <w:kern w:val="0"/>
          <w:sz w:val="28"/>
          <w:szCs w:val="28"/>
        </w:rPr>
      </w:pPr>
      <w:r w:rsidRPr="00267662">
        <w:rPr>
          <w:rFonts w:asciiTheme="majorEastAsia" w:eastAsiaTheme="majorEastAsia" w:hAnsiTheme="majorEastAsia" w:cs="新細明體" w:hint="eastAsia"/>
          <w:b/>
          <w:kern w:val="0"/>
          <w:sz w:val="28"/>
          <w:szCs w:val="28"/>
        </w:rPr>
        <w:t>泰國證券交易所發佈社會責任和報告指引</w:t>
      </w:r>
      <w:r w:rsidR="00B664EF">
        <w:rPr>
          <w:rFonts w:asciiTheme="majorEastAsia" w:eastAsiaTheme="majorEastAsia" w:hAnsiTheme="majorEastAsia" w:cs="新細明體" w:hint="eastAsia"/>
          <w:b/>
          <w:kern w:val="0"/>
          <w:sz w:val="28"/>
          <w:szCs w:val="28"/>
        </w:rPr>
        <w:t>(</w:t>
      </w:r>
      <w:proofErr w:type="gramStart"/>
      <w:r w:rsidR="00B664EF">
        <w:rPr>
          <w:rFonts w:asciiTheme="majorEastAsia" w:eastAsiaTheme="majorEastAsia" w:hAnsiTheme="majorEastAsia" w:cs="新細明體" w:hint="eastAsia"/>
          <w:b/>
          <w:kern w:val="0"/>
          <w:sz w:val="28"/>
          <w:szCs w:val="28"/>
        </w:rPr>
        <w:t>商道縱橫</w:t>
      </w:r>
      <w:proofErr w:type="gramEnd"/>
      <w:r w:rsidR="00B664EF">
        <w:rPr>
          <w:rFonts w:asciiTheme="majorEastAsia" w:eastAsiaTheme="majorEastAsia" w:hAnsiTheme="majorEastAsia" w:cs="新細明體" w:hint="eastAsia"/>
          <w:b/>
          <w:kern w:val="0"/>
          <w:sz w:val="28"/>
          <w:szCs w:val="28"/>
        </w:rPr>
        <w:t>, 2012/7/2</w:t>
      </w:r>
      <w:r w:rsidR="00D74EA9">
        <w:rPr>
          <w:rFonts w:asciiTheme="majorEastAsia" w:eastAsiaTheme="majorEastAsia" w:hAnsiTheme="majorEastAsia" w:cs="新細明體" w:hint="eastAsia"/>
          <w:b/>
          <w:kern w:val="0"/>
          <w:sz w:val="28"/>
          <w:szCs w:val="28"/>
        </w:rPr>
        <w:t>5</w:t>
      </w:r>
      <w:r w:rsidR="00B664EF">
        <w:rPr>
          <w:rFonts w:asciiTheme="majorEastAsia" w:eastAsiaTheme="majorEastAsia" w:hAnsiTheme="majorEastAsia" w:cs="新細明體" w:hint="eastAsia"/>
          <w:b/>
          <w:kern w:val="0"/>
          <w:sz w:val="28"/>
          <w:szCs w:val="28"/>
        </w:rPr>
        <w:t>)</w:t>
      </w:r>
    </w:p>
    <w:p w:rsidR="00105E5A" w:rsidRPr="00E654AC" w:rsidRDefault="00E525E4" w:rsidP="00E654AC">
      <w:pPr>
        <w:shd w:val="clear" w:color="auto" w:fill="FFFFFF"/>
        <w:snapToGrid w:val="0"/>
        <w:spacing w:beforeLines="50" w:before="180" w:line="300" w:lineRule="auto"/>
        <w:ind w:right="313"/>
        <w:jc w:val="both"/>
        <w:rPr>
          <w:rStyle w:val="a3"/>
          <w:rFonts w:ascii="Arial" w:hAnsi="Arial" w:cs="Arial"/>
        </w:rPr>
      </w:pPr>
      <w:hyperlink r:id="rId16" w:history="1">
        <w:r w:rsidR="00105E5A" w:rsidRPr="00E654AC">
          <w:rPr>
            <w:rStyle w:val="a3"/>
            <w:rFonts w:ascii="Arial" w:hAnsi="Arial" w:cs="Arial"/>
            <w:szCs w:val="24"/>
          </w:rPr>
          <w:t>http://www.syntao.com/E_Page_Show.asp?Pa</w:t>
        </w:r>
        <w:r w:rsidR="00105E5A" w:rsidRPr="00E654AC">
          <w:rPr>
            <w:rStyle w:val="a3"/>
            <w:rFonts w:ascii="Arial" w:hAnsi="Arial" w:cs="Arial"/>
            <w:szCs w:val="24"/>
          </w:rPr>
          <w:t>g</w:t>
        </w:r>
        <w:r w:rsidR="00105E5A" w:rsidRPr="00E654AC">
          <w:rPr>
            <w:rStyle w:val="a3"/>
            <w:rFonts w:ascii="Arial" w:hAnsi="Arial" w:cs="Arial"/>
            <w:szCs w:val="24"/>
          </w:rPr>
          <w:t>e_ID=15403</w:t>
        </w:r>
      </w:hyperlink>
    </w:p>
    <w:p w:rsidR="008E6E3E" w:rsidRPr="00887F90" w:rsidRDefault="008E6E3E" w:rsidP="00E654AC">
      <w:pPr>
        <w:widowControl/>
        <w:snapToGrid w:val="0"/>
        <w:spacing w:beforeLines="50" w:before="180" w:line="300" w:lineRule="auto"/>
        <w:rPr>
          <w:rFonts w:ascii="新細明體" w:eastAsia="新細明體" w:hAnsi="新細明體" w:cs="新細明體"/>
          <w:kern w:val="0"/>
          <w:szCs w:val="24"/>
        </w:rPr>
      </w:pPr>
      <w:r w:rsidRPr="00887F90">
        <w:rPr>
          <w:rFonts w:ascii="新細明體" w:eastAsia="新細明體" w:hAnsi="新細明體" w:cs="新細明體" w:hint="eastAsia"/>
          <w:kern w:val="0"/>
          <w:szCs w:val="24"/>
        </w:rPr>
        <w:t>泰國證券交易所在</w:t>
      </w:r>
      <w:r w:rsidRPr="00887F90">
        <w:rPr>
          <w:rFonts w:ascii="新細明體" w:eastAsia="新細明體" w:hAnsi="新細明體" w:cs="新細明體"/>
          <w:kern w:val="0"/>
          <w:szCs w:val="24"/>
        </w:rPr>
        <w:t>6</w:t>
      </w:r>
      <w:r w:rsidRPr="00887F90">
        <w:rPr>
          <w:rFonts w:ascii="新細明體" w:eastAsia="新細明體" w:hAnsi="新細明體" w:cs="新細明體" w:hint="eastAsia"/>
          <w:kern w:val="0"/>
          <w:szCs w:val="24"/>
        </w:rPr>
        <w:t>月</w:t>
      </w:r>
      <w:r w:rsidRPr="00887F90">
        <w:rPr>
          <w:rFonts w:ascii="新細明體" w:eastAsia="新細明體" w:hAnsi="新細明體" w:cs="新細明體"/>
          <w:kern w:val="0"/>
          <w:szCs w:val="24"/>
        </w:rPr>
        <w:t>29</w:t>
      </w:r>
      <w:r w:rsidRPr="00887F90">
        <w:rPr>
          <w:rFonts w:ascii="新細明體" w:eastAsia="新細明體" w:hAnsi="新細明體" w:cs="新細明體" w:hint="eastAsia"/>
          <w:kern w:val="0"/>
          <w:szCs w:val="24"/>
        </w:rPr>
        <w:t>日發佈了社會責任和報告指引，包括了3份文件：</w:t>
      </w:r>
    </w:p>
    <w:p w:rsidR="008E6E3E" w:rsidRPr="00887F90" w:rsidRDefault="008E6E3E" w:rsidP="00E654AC">
      <w:pPr>
        <w:widowControl/>
        <w:snapToGrid w:val="0"/>
        <w:spacing w:beforeLines="50" w:before="180" w:line="300" w:lineRule="auto"/>
        <w:rPr>
          <w:rFonts w:ascii="新細明體" w:eastAsia="新細明體" w:hAnsi="新細明體" w:cs="新細明體"/>
          <w:kern w:val="0"/>
          <w:szCs w:val="24"/>
        </w:rPr>
      </w:pPr>
      <w:r w:rsidRPr="00887F90">
        <w:rPr>
          <w:rFonts w:ascii="新細明體" w:eastAsia="新細明體" w:hAnsi="新細明體" w:cs="新細明體" w:hint="eastAsia"/>
          <w:kern w:val="0"/>
          <w:szCs w:val="24"/>
        </w:rPr>
        <w:t>1.「社會責任公司施行方針」（基於</w:t>
      </w:r>
      <w:r w:rsidRPr="00887F90">
        <w:rPr>
          <w:rFonts w:ascii="新細明體" w:eastAsia="新細明體" w:hAnsi="新細明體" w:cs="新細明體"/>
          <w:kern w:val="0"/>
          <w:szCs w:val="24"/>
        </w:rPr>
        <w:t>ISO26000</w:t>
      </w:r>
      <w:r w:rsidRPr="00887F90">
        <w:rPr>
          <w:rFonts w:ascii="新細明體" w:eastAsia="新細明體" w:hAnsi="新細明體" w:cs="新細明體" w:hint="eastAsia"/>
          <w:kern w:val="0"/>
          <w:szCs w:val="24"/>
        </w:rPr>
        <w:t>並適應泰國國情）</w:t>
      </w:r>
    </w:p>
    <w:p w:rsidR="008E6E3E" w:rsidRPr="00887F90" w:rsidRDefault="008E6E3E" w:rsidP="00E654AC">
      <w:pPr>
        <w:widowControl/>
        <w:snapToGrid w:val="0"/>
        <w:spacing w:beforeLines="50" w:before="180" w:line="300" w:lineRule="auto"/>
        <w:rPr>
          <w:rFonts w:ascii="新細明體" w:eastAsia="新細明體" w:hAnsi="新細明體" w:cs="新細明體"/>
          <w:kern w:val="0"/>
          <w:szCs w:val="24"/>
        </w:rPr>
      </w:pPr>
      <w:r w:rsidRPr="00887F90">
        <w:rPr>
          <w:rFonts w:ascii="新細明體" w:eastAsia="新細明體" w:hAnsi="新細明體" w:cs="新細明體" w:hint="eastAsia"/>
          <w:kern w:val="0"/>
          <w:szCs w:val="24"/>
        </w:rPr>
        <w:t>2. 「永續性報告綱領」，以及</w:t>
      </w:r>
    </w:p>
    <w:p w:rsidR="008E6E3E" w:rsidRPr="00887F90" w:rsidRDefault="008E6E3E" w:rsidP="00E654AC">
      <w:pPr>
        <w:widowControl/>
        <w:snapToGrid w:val="0"/>
        <w:spacing w:beforeLines="50" w:before="180" w:line="300" w:lineRule="auto"/>
        <w:rPr>
          <w:rFonts w:ascii="新細明體" w:eastAsia="新細明體" w:hAnsi="新細明體" w:cs="新細明體"/>
          <w:kern w:val="0"/>
          <w:szCs w:val="24"/>
        </w:rPr>
      </w:pPr>
      <w:r w:rsidRPr="00887F90">
        <w:rPr>
          <w:rFonts w:ascii="新細明體" w:eastAsia="新細明體" w:hAnsi="新細明體" w:cs="新細明體" w:hint="eastAsia"/>
          <w:kern w:val="0"/>
          <w:szCs w:val="24"/>
        </w:rPr>
        <w:t>3. GRI「永續性報告綱領」</w:t>
      </w:r>
      <w:r w:rsidRPr="00887F90">
        <w:rPr>
          <w:rFonts w:ascii="新細明體" w:eastAsia="新細明體" w:hAnsi="新細明體" w:cs="新細明體"/>
          <w:kern w:val="0"/>
          <w:szCs w:val="24"/>
        </w:rPr>
        <w:t>3.1</w:t>
      </w:r>
      <w:r w:rsidRPr="00887F90">
        <w:rPr>
          <w:rFonts w:ascii="新細明體" w:eastAsia="新細明體" w:hAnsi="新細明體" w:cs="新細明體" w:hint="eastAsia"/>
          <w:kern w:val="0"/>
          <w:szCs w:val="24"/>
        </w:rPr>
        <w:t>版的泰語翻譯版</w:t>
      </w:r>
    </w:p>
    <w:p w:rsidR="008E6E3E" w:rsidRPr="00887F90" w:rsidRDefault="008E6E3E" w:rsidP="00E654AC">
      <w:pPr>
        <w:widowControl/>
        <w:snapToGrid w:val="0"/>
        <w:spacing w:beforeLines="50" w:before="180" w:line="300" w:lineRule="auto"/>
        <w:rPr>
          <w:rFonts w:ascii="新細明體" w:eastAsia="新細明體" w:hAnsi="新細明體" w:cs="新細明體"/>
          <w:kern w:val="0"/>
          <w:szCs w:val="24"/>
        </w:rPr>
      </w:pPr>
      <w:r w:rsidRPr="00887F90">
        <w:rPr>
          <w:rFonts w:ascii="新細明體" w:eastAsia="新細明體" w:hAnsi="新細明體" w:cs="新細明體" w:hint="eastAsia"/>
          <w:kern w:val="0"/>
          <w:szCs w:val="24"/>
        </w:rPr>
        <w:t>這些由泰國證券交易所企業社會責任研究所制定的指南，表達了對國際標準的一系列承諾，且是對泰國公司在實施和報告兩方面的巨大推動。</w:t>
      </w:r>
      <w:r w:rsidR="004E3A7C" w:rsidRPr="00887F90">
        <w:rPr>
          <w:rFonts w:ascii="新細明體" w:eastAsia="新細明體" w:hAnsi="新細明體" w:cs="新細明體" w:hint="eastAsia"/>
          <w:kern w:val="0"/>
          <w:szCs w:val="24"/>
        </w:rPr>
        <w:t>這些文件</w:t>
      </w:r>
      <w:r w:rsidRPr="00887F90">
        <w:rPr>
          <w:rFonts w:ascii="新細明體" w:eastAsia="新細明體" w:hAnsi="新細明體" w:cs="新細明體" w:hint="eastAsia"/>
          <w:kern w:val="0"/>
          <w:szCs w:val="24"/>
        </w:rPr>
        <w:t>旨在幫助泰國公司擴大其</w:t>
      </w:r>
      <w:r w:rsidRPr="00887F90">
        <w:rPr>
          <w:rFonts w:ascii="新細明體" w:eastAsia="新細明體" w:hAnsi="新細明體" w:cs="新細明體"/>
          <w:kern w:val="0"/>
          <w:szCs w:val="24"/>
        </w:rPr>
        <w:t>CSR</w:t>
      </w:r>
      <w:r w:rsidRPr="00887F90">
        <w:rPr>
          <w:rFonts w:ascii="新細明體" w:eastAsia="新細明體" w:hAnsi="新細明體" w:cs="新細明體" w:hint="eastAsia"/>
          <w:kern w:val="0"/>
          <w:szCs w:val="24"/>
        </w:rPr>
        <w:t>視野的一系列工具中最新的工具性文件，使公司對</w:t>
      </w:r>
      <w:r w:rsidRPr="00887F90">
        <w:rPr>
          <w:rFonts w:ascii="新細明體" w:eastAsia="新細明體" w:hAnsi="新細明體" w:cs="新細明體"/>
          <w:kern w:val="0"/>
          <w:szCs w:val="24"/>
        </w:rPr>
        <w:t>CSR</w:t>
      </w:r>
      <w:r w:rsidRPr="00887F90">
        <w:rPr>
          <w:rFonts w:ascii="新細明體" w:eastAsia="新細明體" w:hAnsi="新細明體" w:cs="新細明體" w:hint="eastAsia"/>
          <w:kern w:val="0"/>
          <w:szCs w:val="24"/>
        </w:rPr>
        <w:t>的認識超越公益和慈善，並將其作為</w:t>
      </w:r>
      <w:r w:rsidR="004E3A7C" w:rsidRPr="00887F90">
        <w:rPr>
          <w:rFonts w:ascii="新細明體" w:eastAsia="新細明體" w:hAnsi="新細明體" w:cs="新細明體" w:hint="eastAsia"/>
          <w:kern w:val="0"/>
          <w:szCs w:val="24"/>
        </w:rPr>
        <w:t>策略性議題來採用，且文件</w:t>
      </w:r>
      <w:r w:rsidRPr="00887F90">
        <w:rPr>
          <w:rFonts w:ascii="新細明體" w:eastAsia="新細明體" w:hAnsi="新細明體" w:cs="新細明體" w:hint="eastAsia"/>
          <w:kern w:val="0"/>
          <w:szCs w:val="24"/>
        </w:rPr>
        <w:t>的</w:t>
      </w:r>
      <w:r w:rsidR="004E3A7C" w:rsidRPr="00887F90">
        <w:rPr>
          <w:rFonts w:ascii="新細明體" w:eastAsia="新細明體" w:hAnsi="新細明體" w:cs="新細明體" w:hint="eastAsia"/>
          <w:kern w:val="0"/>
          <w:szCs w:val="24"/>
        </w:rPr>
        <w:t>仔細</w:t>
      </w:r>
      <w:r w:rsidRPr="00887F90">
        <w:rPr>
          <w:rFonts w:ascii="新細明體" w:eastAsia="新細明體" w:hAnsi="新細明體" w:cs="新細明體" w:hint="eastAsia"/>
          <w:kern w:val="0"/>
          <w:szCs w:val="24"/>
        </w:rPr>
        <w:t>程度超越了大多數其他亞洲交易所提供的指引。</w:t>
      </w:r>
    </w:p>
    <w:p w:rsidR="008E6E3E" w:rsidRPr="00887F90" w:rsidRDefault="004E3A7C" w:rsidP="00E654AC">
      <w:pPr>
        <w:widowControl/>
        <w:snapToGrid w:val="0"/>
        <w:spacing w:beforeLines="50" w:before="180" w:line="300" w:lineRule="auto"/>
        <w:rPr>
          <w:rFonts w:ascii="新細明體" w:eastAsia="新細明體" w:hAnsi="新細明體" w:cs="新細明體"/>
          <w:kern w:val="0"/>
          <w:szCs w:val="24"/>
        </w:rPr>
      </w:pPr>
      <w:r w:rsidRPr="00887F90">
        <w:rPr>
          <w:rFonts w:ascii="新細明體" w:eastAsia="新細明體" w:hAnsi="新細明體" w:cs="新細明體" w:hint="eastAsia"/>
          <w:kern w:val="0"/>
          <w:szCs w:val="24"/>
        </w:rPr>
        <w:t>「社會責任公司施行方針」</w:t>
      </w:r>
      <w:r w:rsidR="008E6E3E" w:rsidRPr="00887F90">
        <w:rPr>
          <w:rFonts w:ascii="新細明體" w:eastAsia="新細明體" w:hAnsi="新細明體" w:cs="新細明體" w:hint="eastAsia"/>
          <w:kern w:val="0"/>
          <w:szCs w:val="24"/>
        </w:rPr>
        <w:t>提供了有關社會責任原則、理論和實施的概</w:t>
      </w:r>
      <w:proofErr w:type="gramStart"/>
      <w:r w:rsidR="008E6E3E" w:rsidRPr="00887F90">
        <w:rPr>
          <w:rFonts w:ascii="新細明體" w:eastAsia="新細明體" w:hAnsi="新細明體" w:cs="新細明體" w:hint="eastAsia"/>
          <w:kern w:val="0"/>
          <w:szCs w:val="24"/>
        </w:rPr>
        <w:t>覽</w:t>
      </w:r>
      <w:proofErr w:type="gramEnd"/>
      <w:r w:rsidR="008E6E3E" w:rsidRPr="00887F90">
        <w:rPr>
          <w:rFonts w:ascii="新細明體" w:eastAsia="新細明體" w:hAnsi="新細明體" w:cs="新細明體" w:hint="eastAsia"/>
          <w:kern w:val="0"/>
          <w:szCs w:val="24"/>
        </w:rPr>
        <w:t>。它大部分是基於</w:t>
      </w:r>
      <w:r w:rsidR="008E6E3E" w:rsidRPr="00887F90">
        <w:rPr>
          <w:rFonts w:ascii="新細明體" w:eastAsia="新細明體" w:hAnsi="新細明體" w:cs="新細明體"/>
          <w:kern w:val="0"/>
          <w:szCs w:val="24"/>
        </w:rPr>
        <w:t>ISO26000</w:t>
      </w:r>
      <w:r w:rsidR="008E6E3E" w:rsidRPr="00887F90">
        <w:rPr>
          <w:rFonts w:ascii="新細明體" w:eastAsia="新細明體" w:hAnsi="新細明體" w:cs="新細明體" w:hint="eastAsia"/>
          <w:kern w:val="0"/>
          <w:szCs w:val="24"/>
        </w:rPr>
        <w:t>，但吸收了包括聯合國全球</w:t>
      </w:r>
      <w:r w:rsidRPr="00887F90">
        <w:rPr>
          <w:rFonts w:ascii="新細明體" w:eastAsia="新細明體" w:hAnsi="新細明體" w:cs="新細明體" w:hint="eastAsia"/>
          <w:kern w:val="0"/>
          <w:szCs w:val="24"/>
        </w:rPr>
        <w:t>盟約</w:t>
      </w:r>
      <w:r w:rsidR="008E6E3E" w:rsidRPr="00887F90">
        <w:rPr>
          <w:rFonts w:ascii="新細明體" w:eastAsia="新細明體" w:hAnsi="新細明體" w:cs="新細明體" w:hint="eastAsia"/>
          <w:kern w:val="0"/>
          <w:szCs w:val="24"/>
        </w:rPr>
        <w:t>和</w:t>
      </w:r>
      <w:r w:rsidR="008E6E3E" w:rsidRPr="00887F90">
        <w:rPr>
          <w:rFonts w:ascii="新細明體" w:eastAsia="新細明體" w:hAnsi="新細明體" w:cs="新細明體"/>
          <w:kern w:val="0"/>
          <w:szCs w:val="24"/>
        </w:rPr>
        <w:t>GRI</w:t>
      </w:r>
      <w:r w:rsidR="008E6E3E" w:rsidRPr="00887F90">
        <w:rPr>
          <w:rFonts w:ascii="新細明體" w:eastAsia="新細明體" w:hAnsi="新細明體" w:cs="新細明體" w:hint="eastAsia"/>
          <w:kern w:val="0"/>
          <w:szCs w:val="24"/>
        </w:rPr>
        <w:t>報告編制指南在內的一系列國際</w:t>
      </w:r>
      <w:r w:rsidR="008E6E3E" w:rsidRPr="00887F90">
        <w:rPr>
          <w:rFonts w:ascii="新細明體" w:eastAsia="新細明體" w:hAnsi="新細明體" w:cs="新細明體"/>
          <w:kern w:val="0"/>
          <w:szCs w:val="24"/>
        </w:rPr>
        <w:t>CSR</w:t>
      </w:r>
      <w:r w:rsidRPr="00887F90">
        <w:rPr>
          <w:rFonts w:ascii="新細明體" w:eastAsia="新細明體" w:hAnsi="新細明體" w:cs="新細明體" w:hint="eastAsia"/>
          <w:kern w:val="0"/>
          <w:szCs w:val="24"/>
        </w:rPr>
        <w:t>規範或指南，</w:t>
      </w:r>
      <w:r w:rsidR="008E6E3E" w:rsidRPr="00887F90">
        <w:rPr>
          <w:rFonts w:ascii="新細明體" w:eastAsia="新細明體" w:hAnsi="新細明體" w:cs="新細明體" w:hint="eastAsia"/>
          <w:kern w:val="0"/>
          <w:szCs w:val="24"/>
        </w:rPr>
        <w:t>也將社會責任與其他泰國公司的相關原則和指引融為一體。</w:t>
      </w:r>
    </w:p>
    <w:p w:rsidR="008E6E3E" w:rsidRPr="00887F90" w:rsidRDefault="00105E5A" w:rsidP="00E654AC">
      <w:pPr>
        <w:widowControl/>
        <w:snapToGrid w:val="0"/>
        <w:spacing w:beforeLines="50" w:before="180" w:line="300" w:lineRule="auto"/>
        <w:rPr>
          <w:rFonts w:ascii="新細明體" w:eastAsia="新細明體" w:hAnsi="新細明體" w:cs="新細明體"/>
          <w:kern w:val="0"/>
          <w:szCs w:val="24"/>
        </w:rPr>
      </w:pPr>
      <w:r w:rsidRPr="00887F90">
        <w:rPr>
          <w:rFonts w:ascii="新細明體" w:eastAsia="新細明體" w:hAnsi="新細明體" w:cs="新細明體" w:hint="eastAsia"/>
          <w:kern w:val="0"/>
          <w:szCs w:val="24"/>
        </w:rPr>
        <w:lastRenderedPageBreak/>
        <w:t>「永續性報告綱領」是</w:t>
      </w:r>
      <w:r w:rsidR="008E6E3E" w:rsidRPr="00887F90">
        <w:rPr>
          <w:rFonts w:ascii="新細明體" w:eastAsia="新細明體" w:hAnsi="新細明體" w:cs="新細明體" w:hint="eastAsia"/>
          <w:kern w:val="0"/>
          <w:szCs w:val="24"/>
        </w:rPr>
        <w:t>基於</w:t>
      </w:r>
      <w:r w:rsidR="008E6E3E" w:rsidRPr="00887F90">
        <w:rPr>
          <w:rFonts w:ascii="新細明體" w:eastAsia="新細明體" w:hAnsi="新細明體" w:cs="新細明體"/>
          <w:kern w:val="0"/>
          <w:szCs w:val="24"/>
        </w:rPr>
        <w:t>GRI</w:t>
      </w:r>
      <w:r w:rsidR="008E6E3E" w:rsidRPr="00887F90">
        <w:rPr>
          <w:rFonts w:ascii="新細明體" w:eastAsia="新細明體" w:hAnsi="新細明體" w:cs="新細明體" w:hint="eastAsia"/>
          <w:kern w:val="0"/>
          <w:szCs w:val="24"/>
        </w:rPr>
        <w:t>報告框架制定。此檔是翻譯版的</w:t>
      </w:r>
      <w:r w:rsidR="008E6E3E" w:rsidRPr="00887F90">
        <w:rPr>
          <w:rFonts w:ascii="新細明體" w:eastAsia="新細明體" w:hAnsi="新細明體" w:cs="新細明體"/>
          <w:kern w:val="0"/>
          <w:szCs w:val="24"/>
        </w:rPr>
        <w:t>G3.1</w:t>
      </w:r>
      <w:r w:rsidR="008E6E3E" w:rsidRPr="00887F90">
        <w:rPr>
          <w:rFonts w:ascii="新細明體" w:eastAsia="新細明體" w:hAnsi="新細明體" w:cs="新細明體" w:hint="eastAsia"/>
          <w:kern w:val="0"/>
          <w:szCs w:val="24"/>
        </w:rPr>
        <w:t>指南的補充，提供了有關什麼是可持續發展報告、為何應該編制此報告、</w:t>
      </w:r>
      <w:r w:rsidR="008E6E3E" w:rsidRPr="00887F90">
        <w:rPr>
          <w:rFonts w:ascii="新細明體" w:eastAsia="新細明體" w:hAnsi="新細明體" w:cs="新細明體"/>
          <w:kern w:val="0"/>
          <w:szCs w:val="24"/>
        </w:rPr>
        <w:t>GRI</w:t>
      </w:r>
      <w:r w:rsidR="008E6E3E" w:rsidRPr="00887F90">
        <w:rPr>
          <w:rFonts w:ascii="新細明體" w:eastAsia="新細明體" w:hAnsi="新細明體" w:cs="新細明體" w:hint="eastAsia"/>
          <w:kern w:val="0"/>
          <w:szCs w:val="24"/>
        </w:rPr>
        <w:t>報告框架的作用及如何編制報告的步驟式指引等問題的概述。儘管大部分資訊重複了</w:t>
      </w:r>
      <w:r w:rsidR="008E6E3E" w:rsidRPr="00887F90">
        <w:rPr>
          <w:rFonts w:ascii="新細明體" w:eastAsia="新細明體" w:hAnsi="新細明體" w:cs="新細明體"/>
          <w:kern w:val="0"/>
          <w:szCs w:val="24"/>
        </w:rPr>
        <w:t>GRI</w:t>
      </w:r>
      <w:r w:rsidR="008E6E3E" w:rsidRPr="00887F90">
        <w:rPr>
          <w:rFonts w:ascii="新細明體" w:eastAsia="新細明體" w:hAnsi="新細明體" w:cs="新細明體" w:hint="eastAsia"/>
          <w:kern w:val="0"/>
          <w:szCs w:val="24"/>
        </w:rPr>
        <w:t>指引翻譯版的內容，但卻根據語境和國情的重新表述，並將其與公司的社會責任原則和公司的利益聯繫起來。</w:t>
      </w:r>
    </w:p>
    <w:p w:rsidR="008E6E3E" w:rsidRPr="00887F90" w:rsidRDefault="008E6E3E" w:rsidP="00E654AC">
      <w:pPr>
        <w:widowControl/>
        <w:snapToGrid w:val="0"/>
        <w:spacing w:beforeLines="50" w:before="180" w:line="300" w:lineRule="auto"/>
        <w:rPr>
          <w:rFonts w:ascii="新細明體" w:eastAsia="新細明體" w:hAnsi="新細明體" w:cs="新細明體"/>
          <w:kern w:val="0"/>
          <w:szCs w:val="24"/>
        </w:rPr>
      </w:pPr>
      <w:r w:rsidRPr="00887F90">
        <w:rPr>
          <w:rFonts w:ascii="新細明體" w:eastAsia="新細明體" w:hAnsi="新細明體" w:cs="新細明體" w:hint="eastAsia"/>
          <w:kern w:val="0"/>
          <w:szCs w:val="24"/>
        </w:rPr>
        <w:t>在發佈</w:t>
      </w:r>
      <w:r w:rsidR="00105E5A" w:rsidRPr="00887F90">
        <w:rPr>
          <w:rFonts w:ascii="新細明體" w:eastAsia="新細明體" w:hAnsi="新細明體" w:cs="新細明體" w:hint="eastAsia"/>
          <w:kern w:val="0"/>
          <w:szCs w:val="24"/>
        </w:rPr>
        <w:t>永續性報告綱領</w:t>
      </w:r>
      <w:r w:rsidRPr="00887F90">
        <w:rPr>
          <w:rFonts w:ascii="新細明體" w:eastAsia="新細明體" w:hAnsi="新細明體" w:cs="新細明體" w:hint="eastAsia"/>
          <w:kern w:val="0"/>
          <w:szCs w:val="24"/>
        </w:rPr>
        <w:t>和</w:t>
      </w:r>
      <w:r w:rsidRPr="00887F90">
        <w:rPr>
          <w:rFonts w:ascii="新細明體" w:eastAsia="新細明體" w:hAnsi="新細明體" w:cs="新細明體"/>
          <w:kern w:val="0"/>
          <w:szCs w:val="24"/>
        </w:rPr>
        <w:t>G3.1</w:t>
      </w:r>
      <w:r w:rsidRPr="00887F90">
        <w:rPr>
          <w:rFonts w:ascii="新細明體" w:eastAsia="新細明體" w:hAnsi="新細明體" w:cs="新細明體" w:hint="eastAsia"/>
          <w:kern w:val="0"/>
          <w:szCs w:val="24"/>
        </w:rPr>
        <w:t>譯本之前，泰國證券交易所已宣導泰國公司發佈報告。</w:t>
      </w:r>
      <w:r w:rsidRPr="00887F90">
        <w:rPr>
          <w:rFonts w:ascii="新細明體" w:eastAsia="新細明體" w:hAnsi="新細明體" w:cs="新細明體"/>
          <w:kern w:val="0"/>
          <w:szCs w:val="24"/>
        </w:rPr>
        <w:t>CSR</w:t>
      </w:r>
      <w:r w:rsidRPr="00887F90">
        <w:rPr>
          <w:rFonts w:ascii="新細明體" w:eastAsia="新細明體" w:hAnsi="新細明體" w:cs="新細明體" w:hint="eastAsia"/>
          <w:kern w:val="0"/>
          <w:szCs w:val="24"/>
        </w:rPr>
        <w:t>研究所等機構向公司提供免費的培訓和諮詢。這種刺激手段似乎已經顯效。自</w:t>
      </w:r>
      <w:r w:rsidRPr="00887F90">
        <w:rPr>
          <w:rFonts w:ascii="新細明體" w:eastAsia="新細明體" w:hAnsi="新細明體" w:cs="新細明體"/>
          <w:kern w:val="0"/>
          <w:szCs w:val="24"/>
        </w:rPr>
        <w:t>2005</w:t>
      </w:r>
      <w:r w:rsidRPr="00887F90">
        <w:rPr>
          <w:rFonts w:ascii="新細明體" w:eastAsia="新細明體" w:hAnsi="新細明體" w:cs="新細明體" w:hint="eastAsia"/>
          <w:kern w:val="0"/>
          <w:szCs w:val="24"/>
        </w:rPr>
        <w:t>年以來，約</w:t>
      </w:r>
      <w:r w:rsidRPr="00887F90">
        <w:rPr>
          <w:rFonts w:ascii="新細明體" w:eastAsia="新細明體" w:hAnsi="新細明體" w:cs="新細明體"/>
          <w:kern w:val="0"/>
          <w:szCs w:val="24"/>
        </w:rPr>
        <w:t>80</w:t>
      </w:r>
      <w:r w:rsidRPr="00887F90">
        <w:rPr>
          <w:rFonts w:ascii="新細明體" w:eastAsia="新細明體" w:hAnsi="新細明體" w:cs="新細明體" w:hint="eastAsia"/>
          <w:kern w:val="0"/>
          <w:szCs w:val="24"/>
        </w:rPr>
        <w:t>家左右的泰國公司已經發佈了</w:t>
      </w:r>
      <w:r w:rsidRPr="00887F90">
        <w:rPr>
          <w:rFonts w:ascii="新細明體" w:eastAsia="新細明體" w:hAnsi="新細明體" w:cs="新細明體"/>
          <w:kern w:val="0"/>
          <w:szCs w:val="24"/>
        </w:rPr>
        <w:t>CSR</w:t>
      </w:r>
      <w:r w:rsidRPr="00887F90">
        <w:rPr>
          <w:rFonts w:ascii="新細明體" w:eastAsia="新細明體" w:hAnsi="新細明體" w:cs="新細明體" w:hint="eastAsia"/>
          <w:kern w:val="0"/>
          <w:szCs w:val="24"/>
        </w:rPr>
        <w:t>報告或可持續發展報告。泰國依據</w:t>
      </w:r>
      <w:r w:rsidRPr="00887F90">
        <w:rPr>
          <w:rFonts w:ascii="新細明體" w:eastAsia="新細明體" w:hAnsi="新細明體" w:cs="新細明體"/>
          <w:kern w:val="0"/>
          <w:szCs w:val="24"/>
        </w:rPr>
        <w:t>GRI</w:t>
      </w:r>
      <w:r w:rsidRPr="00887F90">
        <w:rPr>
          <w:rFonts w:ascii="新細明體" w:eastAsia="新細明體" w:hAnsi="新細明體" w:cs="新細明體" w:hint="eastAsia"/>
          <w:kern w:val="0"/>
          <w:szCs w:val="24"/>
        </w:rPr>
        <w:t>編制發佈報告的組織數量也快速攀升：</w:t>
      </w:r>
      <w:r w:rsidRPr="00887F90">
        <w:rPr>
          <w:rFonts w:ascii="新細明體" w:eastAsia="新細明體" w:hAnsi="新細明體" w:cs="新細明體"/>
          <w:kern w:val="0"/>
          <w:szCs w:val="24"/>
        </w:rPr>
        <w:t>2009</w:t>
      </w:r>
      <w:r w:rsidRPr="00887F90">
        <w:rPr>
          <w:rFonts w:ascii="新細明體" w:eastAsia="新細明體" w:hAnsi="新細明體" w:cs="新細明體" w:hint="eastAsia"/>
          <w:kern w:val="0"/>
          <w:szCs w:val="24"/>
        </w:rPr>
        <w:t>年</w:t>
      </w:r>
      <w:r w:rsidRPr="00887F90">
        <w:rPr>
          <w:rFonts w:ascii="新細明體" w:eastAsia="新細明體" w:hAnsi="新細明體" w:cs="新細明體"/>
          <w:kern w:val="0"/>
          <w:szCs w:val="24"/>
        </w:rPr>
        <w:t>3</w:t>
      </w:r>
      <w:r w:rsidRPr="00887F90">
        <w:rPr>
          <w:rFonts w:ascii="新細明體" w:eastAsia="新細明體" w:hAnsi="新細明體" w:cs="新細明體" w:hint="eastAsia"/>
          <w:kern w:val="0"/>
          <w:szCs w:val="24"/>
        </w:rPr>
        <w:t>家，</w:t>
      </w:r>
      <w:r w:rsidRPr="00887F90">
        <w:rPr>
          <w:rFonts w:ascii="新細明體" w:eastAsia="新細明體" w:hAnsi="新細明體" w:cs="新細明體"/>
          <w:kern w:val="0"/>
          <w:szCs w:val="24"/>
        </w:rPr>
        <w:t>2010</w:t>
      </w:r>
      <w:r w:rsidRPr="00887F90">
        <w:rPr>
          <w:rFonts w:ascii="新細明體" w:eastAsia="新細明體" w:hAnsi="新細明體" w:cs="新細明體" w:hint="eastAsia"/>
          <w:kern w:val="0"/>
          <w:szCs w:val="24"/>
        </w:rPr>
        <w:t>年</w:t>
      </w:r>
      <w:r w:rsidRPr="00887F90">
        <w:rPr>
          <w:rFonts w:ascii="新細明體" w:eastAsia="新細明體" w:hAnsi="新細明體" w:cs="新細明體"/>
          <w:kern w:val="0"/>
          <w:szCs w:val="24"/>
        </w:rPr>
        <w:t>9</w:t>
      </w:r>
      <w:r w:rsidRPr="00887F90">
        <w:rPr>
          <w:rFonts w:ascii="新細明體" w:eastAsia="新細明體" w:hAnsi="新細明體" w:cs="新細明體" w:hint="eastAsia"/>
          <w:kern w:val="0"/>
          <w:szCs w:val="24"/>
        </w:rPr>
        <w:t>家，</w:t>
      </w:r>
      <w:r w:rsidRPr="00887F90">
        <w:rPr>
          <w:rFonts w:ascii="新細明體" w:eastAsia="新細明體" w:hAnsi="新細明體" w:cs="新細明體"/>
          <w:kern w:val="0"/>
          <w:szCs w:val="24"/>
        </w:rPr>
        <w:t>2011</w:t>
      </w:r>
      <w:r w:rsidRPr="00887F90">
        <w:rPr>
          <w:rFonts w:ascii="新細明體" w:eastAsia="新細明體" w:hAnsi="新細明體" w:cs="新細明體" w:hint="eastAsia"/>
          <w:kern w:val="0"/>
          <w:szCs w:val="24"/>
        </w:rPr>
        <w:t>年</w:t>
      </w:r>
      <w:r w:rsidRPr="00887F90">
        <w:rPr>
          <w:rFonts w:ascii="新細明體" w:eastAsia="新細明體" w:hAnsi="新細明體" w:cs="新細明體"/>
          <w:kern w:val="0"/>
          <w:szCs w:val="24"/>
        </w:rPr>
        <w:t>25</w:t>
      </w:r>
      <w:r w:rsidRPr="00887F90">
        <w:rPr>
          <w:rFonts w:ascii="新細明體" w:eastAsia="新細明體" w:hAnsi="新細明體" w:cs="新細明體" w:hint="eastAsia"/>
          <w:kern w:val="0"/>
          <w:szCs w:val="24"/>
        </w:rPr>
        <w:t xml:space="preserve">家。　　</w:t>
      </w:r>
    </w:p>
    <w:p w:rsidR="00616ED3" w:rsidRPr="00887F90" w:rsidRDefault="008E6E3E" w:rsidP="00E654AC">
      <w:pPr>
        <w:snapToGrid w:val="0"/>
        <w:spacing w:beforeLines="50" w:before="180" w:line="300" w:lineRule="auto"/>
        <w:rPr>
          <w:rFonts w:ascii="新細明體" w:eastAsia="新細明體" w:hAnsi="新細明體" w:cs="新細明體"/>
          <w:kern w:val="0"/>
          <w:szCs w:val="24"/>
        </w:rPr>
      </w:pPr>
      <w:r w:rsidRPr="00887F90">
        <w:rPr>
          <w:rFonts w:ascii="新細明體" w:eastAsia="新細明體" w:hAnsi="新細明體" w:cs="新細明體" w:hint="eastAsia"/>
          <w:kern w:val="0"/>
          <w:szCs w:val="24"/>
        </w:rPr>
        <w:t>目前，泰國是六個已編制上市公司</w:t>
      </w:r>
      <w:r w:rsidR="00105E5A" w:rsidRPr="00887F90">
        <w:rPr>
          <w:rFonts w:ascii="新細明體" w:eastAsia="新細明體" w:hAnsi="新細明體" w:cs="新細明體" w:hint="eastAsia"/>
          <w:kern w:val="0"/>
          <w:szCs w:val="24"/>
        </w:rPr>
        <w:t>永續性指南</w:t>
      </w:r>
      <w:r w:rsidRPr="00887F90">
        <w:rPr>
          <w:rFonts w:ascii="新細明體" w:eastAsia="新細明體" w:hAnsi="新細明體" w:cs="新細明體" w:hint="eastAsia"/>
          <w:kern w:val="0"/>
          <w:szCs w:val="24"/>
        </w:rPr>
        <w:t>的亞洲證券交易所之</w:t>
      </w:r>
      <w:proofErr w:type="gramStart"/>
      <w:r w:rsidRPr="00887F90">
        <w:rPr>
          <w:rFonts w:ascii="新細明體" w:eastAsia="新細明體" w:hAnsi="新細明體" w:cs="新細明體" w:hint="eastAsia"/>
          <w:kern w:val="0"/>
          <w:szCs w:val="24"/>
        </w:rPr>
        <w:t>一</w:t>
      </w:r>
      <w:proofErr w:type="gramEnd"/>
      <w:r w:rsidRPr="00887F90">
        <w:rPr>
          <w:rFonts w:ascii="新細明體" w:eastAsia="新細明體" w:hAnsi="新細明體" w:cs="新細明體" w:hint="eastAsia"/>
          <w:kern w:val="0"/>
          <w:szCs w:val="24"/>
        </w:rPr>
        <w:t>。馬來西亞、香港、韓國、中國（上海）及新加坡也有如此舉動。新加坡發佈了</w:t>
      </w:r>
      <w:r w:rsidR="00105E5A" w:rsidRPr="00887F90">
        <w:rPr>
          <w:rFonts w:ascii="新細明體" w:eastAsia="新細明體" w:hAnsi="新細明體" w:cs="新細明體" w:hint="eastAsia"/>
          <w:kern w:val="0"/>
          <w:szCs w:val="24"/>
        </w:rPr>
        <w:t>永續</w:t>
      </w:r>
      <w:r w:rsidRPr="00887F90">
        <w:rPr>
          <w:rFonts w:ascii="新細明體" w:eastAsia="新細明體" w:hAnsi="新細明體" w:cs="新細明體" w:hint="eastAsia"/>
          <w:kern w:val="0"/>
          <w:szCs w:val="24"/>
        </w:rPr>
        <w:t>發展報告指引以及近期的新的公司治理準則。馬來西亞制定了一套關於</w:t>
      </w:r>
      <w:r w:rsidRPr="00887F90">
        <w:rPr>
          <w:rFonts w:ascii="新細明體" w:eastAsia="新細明體" w:hAnsi="新細明體" w:cs="新細明體"/>
          <w:kern w:val="0"/>
          <w:szCs w:val="24"/>
        </w:rPr>
        <w:t>CSR</w:t>
      </w:r>
      <w:r w:rsidRPr="00887F90">
        <w:rPr>
          <w:rFonts w:ascii="新細明體" w:eastAsia="新細明體" w:hAnsi="新細明體" w:cs="新細明體" w:hint="eastAsia"/>
          <w:kern w:val="0"/>
          <w:szCs w:val="24"/>
        </w:rPr>
        <w:t>和報告的框架，要求上市公司報告其</w:t>
      </w:r>
      <w:r w:rsidRPr="00887F90">
        <w:rPr>
          <w:rFonts w:ascii="新細明體" w:eastAsia="新細明體" w:hAnsi="新細明體" w:cs="新細明體"/>
          <w:kern w:val="0"/>
          <w:szCs w:val="24"/>
        </w:rPr>
        <w:t>CSR</w:t>
      </w:r>
      <w:r w:rsidRPr="00887F90">
        <w:rPr>
          <w:rFonts w:ascii="新細明體" w:eastAsia="新細明體" w:hAnsi="新細明體" w:cs="新細明體" w:hint="eastAsia"/>
          <w:kern w:val="0"/>
          <w:szCs w:val="24"/>
        </w:rPr>
        <w:t>活動。</w:t>
      </w:r>
      <w:proofErr w:type="gramStart"/>
      <w:r w:rsidRPr="00887F90">
        <w:rPr>
          <w:rFonts w:ascii="新細明體" w:eastAsia="新細明體" w:hAnsi="新細明體" w:cs="新細明體" w:hint="eastAsia"/>
          <w:kern w:val="0"/>
          <w:szCs w:val="24"/>
        </w:rPr>
        <w:t>港交所</w:t>
      </w:r>
      <w:proofErr w:type="gramEnd"/>
      <w:r w:rsidRPr="00887F90">
        <w:rPr>
          <w:rFonts w:ascii="新細明體" w:eastAsia="新細明體" w:hAnsi="新細明體" w:cs="新細明體" w:hint="eastAsia"/>
          <w:kern w:val="0"/>
          <w:szCs w:val="24"/>
        </w:rPr>
        <w:t>去年</w:t>
      </w:r>
      <w:r w:rsidRPr="00887F90">
        <w:rPr>
          <w:rFonts w:ascii="新細明體" w:eastAsia="新細明體" w:hAnsi="新細明體" w:cs="新細明體"/>
          <w:kern w:val="0"/>
          <w:szCs w:val="24"/>
        </w:rPr>
        <w:t>12</w:t>
      </w:r>
      <w:r w:rsidRPr="00887F90">
        <w:rPr>
          <w:rFonts w:ascii="新細明體" w:eastAsia="新細明體" w:hAnsi="新細明體" w:cs="新細明體" w:hint="eastAsia"/>
          <w:kern w:val="0"/>
          <w:szCs w:val="24"/>
        </w:rPr>
        <w:t>月份發佈了關於</w:t>
      </w:r>
      <w:r w:rsidRPr="00887F90">
        <w:rPr>
          <w:rFonts w:ascii="新細明體" w:eastAsia="新細明體" w:hAnsi="新細明體" w:cs="新細明體"/>
          <w:kern w:val="0"/>
          <w:szCs w:val="24"/>
        </w:rPr>
        <w:t>ESG</w:t>
      </w:r>
      <w:r w:rsidRPr="00887F90">
        <w:rPr>
          <w:rFonts w:ascii="新細明體" w:eastAsia="新細明體" w:hAnsi="新細明體" w:cs="新細明體" w:hint="eastAsia"/>
          <w:kern w:val="0"/>
          <w:szCs w:val="24"/>
        </w:rPr>
        <w:t>報告指引的諮詢檔，並向所有的公司提供培訓（由</w:t>
      </w:r>
      <w:r w:rsidRPr="00887F90">
        <w:rPr>
          <w:rFonts w:ascii="新細明體" w:eastAsia="新細明體" w:hAnsi="新細明體" w:cs="新細明體"/>
          <w:kern w:val="0"/>
          <w:szCs w:val="24"/>
        </w:rPr>
        <w:t>CSR Asia</w:t>
      </w:r>
      <w:r w:rsidRPr="00887F90">
        <w:rPr>
          <w:rFonts w:ascii="新細明體" w:eastAsia="新細明體" w:hAnsi="新細明體" w:cs="新細明體" w:hint="eastAsia"/>
          <w:kern w:val="0"/>
          <w:szCs w:val="24"/>
        </w:rPr>
        <w:t>提供）。泰國發佈的此份指引是這些指引中最綜合的，體現出</w:t>
      </w:r>
      <w:r w:rsidRPr="00887F90">
        <w:rPr>
          <w:rFonts w:ascii="新細明體" w:eastAsia="新細明體" w:hAnsi="新細明體" w:cs="新細明體"/>
          <w:kern w:val="0"/>
          <w:szCs w:val="24"/>
        </w:rPr>
        <w:t>CSR</w:t>
      </w:r>
      <w:r w:rsidRPr="00887F90">
        <w:rPr>
          <w:rFonts w:ascii="新細明體" w:eastAsia="新細明體" w:hAnsi="新細明體" w:cs="新細明體" w:hint="eastAsia"/>
          <w:kern w:val="0"/>
          <w:szCs w:val="24"/>
        </w:rPr>
        <w:t>研究所的重要承諾，並有望成為泰國公司施行可持續商業和報告實踐，以及從中受益的莫大幫助。</w:t>
      </w:r>
    </w:p>
    <w:p w:rsidR="00F63504" w:rsidRPr="00887F90" w:rsidRDefault="00F63504" w:rsidP="00E654AC">
      <w:pPr>
        <w:snapToGrid w:val="0"/>
        <w:spacing w:beforeLines="50" w:before="180" w:line="300" w:lineRule="auto"/>
        <w:rPr>
          <w:rFonts w:ascii="新細明體" w:eastAsia="新細明體" w:hAnsi="新細明體" w:cs="新細明體"/>
          <w:kern w:val="0"/>
          <w:szCs w:val="24"/>
        </w:rPr>
      </w:pPr>
    </w:p>
    <w:p w:rsidR="00D74EA9" w:rsidRPr="00267662" w:rsidRDefault="00D74EA9" w:rsidP="00D74EA9">
      <w:pPr>
        <w:widowControl/>
        <w:rPr>
          <w:rFonts w:asciiTheme="majorEastAsia" w:eastAsiaTheme="majorEastAsia" w:hAnsiTheme="majorEastAsia" w:cs="新細明體"/>
          <w:b/>
          <w:kern w:val="0"/>
          <w:sz w:val="28"/>
          <w:szCs w:val="28"/>
        </w:rPr>
      </w:pPr>
      <w:r w:rsidRPr="00267662">
        <w:rPr>
          <w:rFonts w:asciiTheme="majorEastAsia" w:eastAsiaTheme="majorEastAsia" w:hAnsiTheme="majorEastAsia" w:cs="新細明體"/>
          <w:b/>
          <w:kern w:val="0"/>
          <w:sz w:val="28"/>
          <w:szCs w:val="28"/>
        </w:rPr>
        <w:t>GRI G4版草案有幾項重大革新</w:t>
      </w:r>
      <w:r>
        <w:rPr>
          <w:rFonts w:asciiTheme="majorEastAsia" w:eastAsiaTheme="majorEastAsia" w:hAnsiTheme="majorEastAsia" w:cs="新細明體" w:hint="eastAsia"/>
          <w:b/>
          <w:kern w:val="0"/>
          <w:sz w:val="28"/>
          <w:szCs w:val="28"/>
        </w:rPr>
        <w:t>(CSR-Reporting, 2012/7/6)</w:t>
      </w:r>
    </w:p>
    <w:p w:rsidR="00D74EA9" w:rsidRDefault="00D74EA9" w:rsidP="00D74EA9">
      <w:pPr>
        <w:widowControl/>
        <w:snapToGrid w:val="0"/>
        <w:spacing w:beforeLines="50" w:before="180" w:line="300" w:lineRule="auto"/>
        <w:rPr>
          <w:szCs w:val="24"/>
        </w:rPr>
      </w:pPr>
      <w:hyperlink r:id="rId17" w:history="1">
        <w:r w:rsidRPr="007B28AC">
          <w:rPr>
            <w:rStyle w:val="a3"/>
            <w:szCs w:val="24"/>
          </w:rPr>
          <w:t>http://csr-reporting.blogspot.tw/2012/07/gri-g4-exposure-draft-explained.html</w:t>
        </w:r>
      </w:hyperlink>
    </w:p>
    <w:p w:rsidR="00D74EA9" w:rsidRPr="00A37B50" w:rsidRDefault="00D74EA9" w:rsidP="00D74EA9">
      <w:pPr>
        <w:widowControl/>
        <w:snapToGrid w:val="0"/>
        <w:spacing w:beforeLines="50" w:before="180" w:line="300" w:lineRule="auto"/>
        <w:rPr>
          <w:rFonts w:asciiTheme="minorEastAsia" w:hAnsiTheme="minorEastAsia" w:cs="新細明體"/>
          <w:bCs/>
          <w:kern w:val="0"/>
          <w:szCs w:val="24"/>
        </w:rPr>
      </w:pPr>
      <w:r w:rsidRPr="00A37B50">
        <w:rPr>
          <w:rFonts w:asciiTheme="minorEastAsia" w:hAnsiTheme="minorEastAsia" w:cs="新細明體"/>
          <w:bCs/>
          <w:kern w:val="0"/>
          <w:szCs w:val="24"/>
        </w:rPr>
        <w:t>全球</w:t>
      </w:r>
      <w:r w:rsidRPr="00A37B50">
        <w:rPr>
          <w:rFonts w:asciiTheme="minorEastAsia" w:hAnsiTheme="minorEastAsia" w:cs="新細明體" w:hint="eastAsia"/>
          <w:bCs/>
          <w:kern w:val="0"/>
          <w:szCs w:val="24"/>
        </w:rPr>
        <w:t>永續</w:t>
      </w:r>
      <w:r w:rsidRPr="00A37B50">
        <w:rPr>
          <w:rFonts w:asciiTheme="minorEastAsia" w:hAnsiTheme="minorEastAsia" w:cs="新細明體"/>
          <w:bCs/>
          <w:kern w:val="0"/>
          <w:szCs w:val="24"/>
        </w:rPr>
        <w:t>報告</w:t>
      </w:r>
      <w:r w:rsidRPr="00A37B50">
        <w:rPr>
          <w:rFonts w:asciiTheme="minorEastAsia" w:hAnsiTheme="minorEastAsia" w:cs="新細明體" w:hint="eastAsia"/>
          <w:bCs/>
          <w:kern w:val="0"/>
          <w:szCs w:val="24"/>
        </w:rPr>
        <w:t>協會</w:t>
      </w:r>
      <w:r w:rsidRPr="00A37B50">
        <w:rPr>
          <w:rFonts w:asciiTheme="minorEastAsia" w:hAnsiTheme="minorEastAsia" w:cs="新細明體"/>
          <w:bCs/>
          <w:kern w:val="0"/>
          <w:szCs w:val="24"/>
        </w:rPr>
        <w:t>(Global Reporting Initiative, GRI)於6月底公布</w:t>
      </w:r>
      <w:proofErr w:type="gramStart"/>
      <w:r w:rsidRPr="00A37B50">
        <w:rPr>
          <w:rFonts w:asciiTheme="minorEastAsia" w:hAnsiTheme="minorEastAsia" w:cs="新細明體"/>
          <w:bCs/>
          <w:kern w:val="0"/>
          <w:szCs w:val="24"/>
        </w:rPr>
        <w:t>第四版永續</w:t>
      </w:r>
      <w:proofErr w:type="gramEnd"/>
      <w:r w:rsidRPr="00A37B50">
        <w:rPr>
          <w:rFonts w:asciiTheme="minorEastAsia" w:hAnsiTheme="minorEastAsia" w:cs="新細明體"/>
          <w:bCs/>
          <w:kern w:val="0"/>
          <w:szCs w:val="24"/>
        </w:rPr>
        <w:t>性報告書指南(GRI G4)草案，並從6月25日至9月25日將進行公眾評論；GRI希望此次改版能讓報告書的內容符合以下幾項目標：</w:t>
      </w:r>
    </w:p>
    <w:p w:rsidR="00D74EA9" w:rsidRPr="00A37B50" w:rsidRDefault="00D74EA9" w:rsidP="00D74EA9">
      <w:pPr>
        <w:pStyle w:val="a5"/>
        <w:widowControl/>
        <w:numPr>
          <w:ilvl w:val="0"/>
          <w:numId w:val="1"/>
        </w:numPr>
        <w:snapToGrid w:val="0"/>
        <w:spacing w:beforeLines="50" w:before="180" w:line="300" w:lineRule="auto"/>
        <w:ind w:leftChars="0"/>
        <w:rPr>
          <w:rFonts w:asciiTheme="minorEastAsia" w:hAnsiTheme="minorEastAsia" w:cs="新細明體"/>
          <w:bCs/>
          <w:kern w:val="0"/>
          <w:szCs w:val="24"/>
        </w:rPr>
      </w:pPr>
      <w:r w:rsidRPr="00A37B50">
        <w:rPr>
          <w:rFonts w:asciiTheme="minorEastAsia" w:hAnsiTheme="minorEastAsia" w:cs="新細明體"/>
          <w:bCs/>
          <w:kern w:val="0"/>
          <w:szCs w:val="24"/>
        </w:rPr>
        <w:t>讓G4版使用者能輕鬆的了解及應用指引之內容。</w:t>
      </w:r>
    </w:p>
    <w:p w:rsidR="00D74EA9" w:rsidRPr="00A37B50" w:rsidRDefault="00D74EA9" w:rsidP="00D74EA9">
      <w:pPr>
        <w:pStyle w:val="a5"/>
        <w:widowControl/>
        <w:numPr>
          <w:ilvl w:val="0"/>
          <w:numId w:val="1"/>
        </w:numPr>
        <w:snapToGrid w:val="0"/>
        <w:spacing w:beforeLines="50" w:before="180" w:line="300" w:lineRule="auto"/>
        <w:ind w:leftChars="0"/>
        <w:rPr>
          <w:rFonts w:asciiTheme="minorEastAsia" w:hAnsiTheme="minorEastAsia" w:cs="新細明體"/>
          <w:bCs/>
          <w:kern w:val="0"/>
          <w:szCs w:val="24"/>
        </w:rPr>
      </w:pPr>
      <w:r w:rsidRPr="00A37B50">
        <w:rPr>
          <w:rFonts w:asciiTheme="minorEastAsia" w:hAnsiTheme="minorEastAsia" w:cs="新細明體"/>
          <w:bCs/>
          <w:kern w:val="0"/>
          <w:szCs w:val="24"/>
        </w:rPr>
        <w:t>消除G3.1版中讓使用者感到模稜兩可之解釋內容，並提升指引之技術品質以增加報告書之價值。</w:t>
      </w:r>
    </w:p>
    <w:p w:rsidR="00D74EA9" w:rsidRPr="00A37B50" w:rsidRDefault="00D74EA9" w:rsidP="00D74EA9">
      <w:pPr>
        <w:pStyle w:val="a5"/>
        <w:widowControl/>
        <w:numPr>
          <w:ilvl w:val="0"/>
          <w:numId w:val="1"/>
        </w:numPr>
        <w:snapToGrid w:val="0"/>
        <w:spacing w:beforeLines="50" w:before="180" w:line="300" w:lineRule="auto"/>
        <w:ind w:leftChars="0"/>
        <w:rPr>
          <w:rFonts w:asciiTheme="minorEastAsia" w:hAnsiTheme="minorEastAsia" w:cs="新細明體"/>
          <w:bCs/>
          <w:kern w:val="0"/>
          <w:szCs w:val="24"/>
        </w:rPr>
      </w:pPr>
      <w:proofErr w:type="gramStart"/>
      <w:r w:rsidRPr="00A37B50">
        <w:rPr>
          <w:rFonts w:asciiTheme="minorEastAsia" w:hAnsiTheme="minorEastAsia" w:cs="新細明體"/>
          <w:bCs/>
          <w:kern w:val="0"/>
          <w:szCs w:val="24"/>
        </w:rPr>
        <w:t>儘</w:t>
      </w:r>
      <w:proofErr w:type="gramEnd"/>
      <w:r w:rsidRPr="00A37B50">
        <w:rPr>
          <w:rFonts w:asciiTheme="minorEastAsia" w:hAnsiTheme="minorEastAsia" w:cs="新細明體"/>
          <w:bCs/>
          <w:kern w:val="0"/>
          <w:szCs w:val="24"/>
        </w:rPr>
        <w:t>可能降低與其他相關國際標準之衝突。</w:t>
      </w:r>
    </w:p>
    <w:p w:rsidR="00D74EA9" w:rsidRPr="00A37B50" w:rsidRDefault="00D74EA9" w:rsidP="00D74EA9">
      <w:pPr>
        <w:pStyle w:val="a5"/>
        <w:widowControl/>
        <w:numPr>
          <w:ilvl w:val="0"/>
          <w:numId w:val="1"/>
        </w:numPr>
        <w:snapToGrid w:val="0"/>
        <w:spacing w:beforeLines="50" w:before="180" w:line="300" w:lineRule="auto"/>
        <w:ind w:leftChars="0"/>
        <w:rPr>
          <w:rFonts w:asciiTheme="minorEastAsia" w:hAnsiTheme="minorEastAsia" w:cs="新細明體"/>
          <w:bCs/>
          <w:kern w:val="0"/>
          <w:szCs w:val="24"/>
        </w:rPr>
      </w:pPr>
      <w:r w:rsidRPr="00A37B50">
        <w:rPr>
          <w:rFonts w:asciiTheme="minorEastAsia" w:hAnsiTheme="minorEastAsia" w:cs="新細明體"/>
          <w:bCs/>
          <w:kern w:val="0"/>
          <w:szCs w:val="24"/>
        </w:rPr>
        <w:t>改善指引在關鍵性議題的定義，避免使用者對指引內容有所誤解及錯誤引用，其內容將涵蓋從不同利害關係人的角度到永續報告內容。</w:t>
      </w:r>
    </w:p>
    <w:p w:rsidR="00D74EA9" w:rsidRPr="00A37B50" w:rsidRDefault="00D74EA9" w:rsidP="00D74EA9">
      <w:pPr>
        <w:pStyle w:val="a5"/>
        <w:widowControl/>
        <w:numPr>
          <w:ilvl w:val="0"/>
          <w:numId w:val="1"/>
        </w:numPr>
        <w:snapToGrid w:val="0"/>
        <w:spacing w:beforeLines="50" w:before="180" w:line="300" w:lineRule="auto"/>
        <w:ind w:leftChars="0"/>
        <w:rPr>
          <w:rFonts w:asciiTheme="minorEastAsia" w:hAnsiTheme="minorEastAsia" w:cs="新細明體"/>
          <w:bCs/>
          <w:kern w:val="0"/>
          <w:szCs w:val="24"/>
        </w:rPr>
      </w:pPr>
      <w:r w:rsidRPr="00A37B50">
        <w:rPr>
          <w:rFonts w:asciiTheme="minorEastAsia" w:hAnsiTheme="minorEastAsia" w:cs="新細明體"/>
          <w:bCs/>
          <w:kern w:val="0"/>
          <w:szCs w:val="24"/>
        </w:rPr>
        <w:t xml:space="preserve">將與國際綜合報告委員會(International </w:t>
      </w:r>
      <w:proofErr w:type="spellStart"/>
      <w:r w:rsidRPr="00A37B50">
        <w:rPr>
          <w:rFonts w:asciiTheme="minorEastAsia" w:hAnsiTheme="minorEastAsia" w:cs="新細明體"/>
          <w:bCs/>
          <w:kern w:val="0"/>
          <w:szCs w:val="24"/>
        </w:rPr>
        <w:t>Intergrated</w:t>
      </w:r>
      <w:proofErr w:type="spellEnd"/>
      <w:r w:rsidRPr="00A37B50">
        <w:rPr>
          <w:rFonts w:asciiTheme="minorEastAsia" w:hAnsiTheme="minorEastAsia" w:cs="新細明體"/>
          <w:bCs/>
          <w:kern w:val="0"/>
          <w:szCs w:val="24"/>
        </w:rPr>
        <w:t xml:space="preserve"> </w:t>
      </w:r>
      <w:proofErr w:type="spellStart"/>
      <w:r w:rsidRPr="00A37B50">
        <w:rPr>
          <w:rFonts w:asciiTheme="minorEastAsia" w:hAnsiTheme="minorEastAsia" w:cs="新細明體"/>
          <w:bCs/>
          <w:kern w:val="0"/>
          <w:szCs w:val="24"/>
        </w:rPr>
        <w:t>Reoprting</w:t>
      </w:r>
      <w:proofErr w:type="spellEnd"/>
      <w:r w:rsidRPr="00A37B50">
        <w:rPr>
          <w:rFonts w:asciiTheme="minorEastAsia" w:hAnsiTheme="minorEastAsia" w:cs="新細明體"/>
          <w:bCs/>
          <w:kern w:val="0"/>
          <w:szCs w:val="24"/>
        </w:rPr>
        <w:t xml:space="preserve"> Council, IIRC)結盟，並在未來提供永續報告書連結入綜合性報告書之指引。</w:t>
      </w:r>
    </w:p>
    <w:p w:rsidR="00D74EA9" w:rsidRPr="00A37B50" w:rsidRDefault="00D74EA9" w:rsidP="00D74EA9">
      <w:pPr>
        <w:pStyle w:val="a5"/>
        <w:widowControl/>
        <w:numPr>
          <w:ilvl w:val="0"/>
          <w:numId w:val="1"/>
        </w:numPr>
        <w:snapToGrid w:val="0"/>
        <w:spacing w:beforeLines="50" w:before="180" w:line="300" w:lineRule="auto"/>
        <w:ind w:leftChars="0"/>
        <w:rPr>
          <w:rFonts w:asciiTheme="minorEastAsia" w:hAnsiTheme="minorEastAsia" w:cs="新細明體"/>
          <w:bCs/>
          <w:kern w:val="0"/>
          <w:szCs w:val="24"/>
        </w:rPr>
      </w:pPr>
      <w:r w:rsidRPr="00A37B50">
        <w:rPr>
          <w:rFonts w:asciiTheme="minorEastAsia" w:hAnsiTheme="minorEastAsia" w:cs="新細明體"/>
          <w:bCs/>
          <w:kern w:val="0"/>
          <w:szCs w:val="24"/>
        </w:rPr>
        <w:t>將從可延伸商業報導語言（</w:t>
      </w:r>
      <w:proofErr w:type="spellStart"/>
      <w:r w:rsidRPr="00A37B50">
        <w:rPr>
          <w:rFonts w:asciiTheme="minorEastAsia" w:hAnsiTheme="minorEastAsia" w:cs="新細明體"/>
          <w:bCs/>
          <w:kern w:val="0"/>
          <w:szCs w:val="24"/>
        </w:rPr>
        <w:t>eXtensible</w:t>
      </w:r>
      <w:proofErr w:type="spellEnd"/>
      <w:r w:rsidRPr="00A37B50">
        <w:rPr>
          <w:rFonts w:asciiTheme="minorEastAsia" w:hAnsiTheme="minorEastAsia" w:cs="新細明體"/>
          <w:bCs/>
          <w:kern w:val="0"/>
          <w:szCs w:val="24"/>
        </w:rPr>
        <w:t xml:space="preserve"> Business Reporting Language, XBRL）的架構下，提供使用者檢索所有分類指引之資料的功能。</w:t>
      </w:r>
    </w:p>
    <w:p w:rsidR="00D74EA9" w:rsidRPr="00A37B50" w:rsidRDefault="00D74EA9" w:rsidP="00D74EA9">
      <w:pPr>
        <w:widowControl/>
        <w:snapToGrid w:val="0"/>
        <w:spacing w:beforeLines="50" w:before="180" w:line="300" w:lineRule="auto"/>
        <w:rPr>
          <w:rFonts w:asciiTheme="minorEastAsia" w:hAnsiTheme="minorEastAsia" w:cs="新細明體"/>
          <w:bCs/>
          <w:kern w:val="0"/>
          <w:szCs w:val="24"/>
        </w:rPr>
      </w:pPr>
      <w:r w:rsidRPr="00A37B50">
        <w:rPr>
          <w:rFonts w:asciiTheme="minorEastAsia" w:hAnsiTheme="minorEastAsia" w:cs="新細明體"/>
          <w:bCs/>
          <w:kern w:val="0"/>
          <w:szCs w:val="24"/>
        </w:rPr>
        <w:t>GRI G4版將有幾項重大的變革，將於以下說明：</w:t>
      </w:r>
    </w:p>
    <w:p w:rsidR="00D74EA9" w:rsidRPr="00A37B50" w:rsidRDefault="00D74EA9" w:rsidP="00D74EA9">
      <w:pPr>
        <w:pStyle w:val="a5"/>
        <w:widowControl/>
        <w:numPr>
          <w:ilvl w:val="0"/>
          <w:numId w:val="2"/>
        </w:numPr>
        <w:snapToGrid w:val="0"/>
        <w:spacing w:beforeLines="50" w:before="180" w:line="300" w:lineRule="auto"/>
        <w:ind w:leftChars="0"/>
        <w:rPr>
          <w:rFonts w:asciiTheme="minorEastAsia" w:hAnsiTheme="minorEastAsia" w:cs="新細明體"/>
          <w:bCs/>
          <w:kern w:val="0"/>
          <w:szCs w:val="24"/>
        </w:rPr>
      </w:pPr>
      <w:r w:rsidRPr="00A37B50">
        <w:rPr>
          <w:rFonts w:asciiTheme="minorEastAsia" w:hAnsiTheme="minorEastAsia" w:cs="新細明體"/>
          <w:bCs/>
          <w:kern w:val="0"/>
          <w:szCs w:val="24"/>
        </w:rPr>
        <w:lastRenderedPageBreak/>
        <w:t>應用的級別：許多GRI指引的使用者，認為A、B、C級別是鑑別報告書品質優劣的標準，但這並不是GRI原先所預期的結果；因此在GRI G4版將取消級別的這項指引，未來將規範報告書需揭露的核心項目，但給予新發行報告書之公司有2年的寬限期，讓這些公司能有緩衝及修正的時間。</w:t>
      </w:r>
    </w:p>
    <w:p w:rsidR="00D74EA9" w:rsidRPr="00A37B50" w:rsidRDefault="00D74EA9" w:rsidP="00D74EA9">
      <w:pPr>
        <w:pStyle w:val="a5"/>
        <w:widowControl/>
        <w:numPr>
          <w:ilvl w:val="0"/>
          <w:numId w:val="2"/>
        </w:numPr>
        <w:snapToGrid w:val="0"/>
        <w:spacing w:beforeLines="50" w:before="180" w:line="300" w:lineRule="auto"/>
        <w:ind w:leftChars="0"/>
        <w:rPr>
          <w:rFonts w:asciiTheme="minorEastAsia" w:hAnsiTheme="minorEastAsia" w:cs="新細明體"/>
          <w:bCs/>
          <w:kern w:val="0"/>
          <w:szCs w:val="24"/>
        </w:rPr>
      </w:pPr>
      <w:r w:rsidRPr="00A37B50">
        <w:rPr>
          <w:rFonts w:asciiTheme="minorEastAsia" w:hAnsiTheme="minorEastAsia" w:cs="新細明體"/>
          <w:bCs/>
          <w:kern w:val="0"/>
          <w:szCs w:val="24"/>
        </w:rPr>
        <w:t>.範疇(Boundary)：GRI G4版在報告內容邊界上做重大的改變，從原先法定的結構物邊界(Legal Structure Boundary)轉變為整個企業價值鏈(Value Chain)，這將使報告內容擴展至上游供應商及下游廠商，並使企業重新評估整個價值鏈對環境及社會所將產生之衝擊。</w:t>
      </w:r>
    </w:p>
    <w:p w:rsidR="00D74EA9" w:rsidRPr="00A37B50" w:rsidRDefault="00D74EA9" w:rsidP="00D74EA9">
      <w:pPr>
        <w:pStyle w:val="a5"/>
        <w:widowControl/>
        <w:numPr>
          <w:ilvl w:val="0"/>
          <w:numId w:val="2"/>
        </w:numPr>
        <w:snapToGrid w:val="0"/>
        <w:spacing w:beforeLines="50" w:before="180" w:line="300" w:lineRule="auto"/>
        <w:ind w:leftChars="0"/>
        <w:rPr>
          <w:rFonts w:asciiTheme="minorEastAsia" w:hAnsiTheme="minorEastAsia" w:cs="新細明體"/>
          <w:bCs/>
          <w:kern w:val="0"/>
          <w:szCs w:val="24"/>
        </w:rPr>
      </w:pPr>
      <w:r w:rsidRPr="00A37B50">
        <w:rPr>
          <w:rFonts w:asciiTheme="minorEastAsia" w:hAnsiTheme="minorEastAsia" w:cs="新細明體"/>
          <w:bCs/>
          <w:kern w:val="0"/>
          <w:szCs w:val="24"/>
        </w:rPr>
        <w:t>管理方面：GRI G4版將重新定義管理方面的重要觀念，並增加此項目揭露之核心指標，將要求企業清楚揭露相關訊息，而非僅重複地敘述「員工是企業最重要的資產」或「我們將對環境做最大的努力」等非具體性的文字敘述。</w:t>
      </w:r>
    </w:p>
    <w:p w:rsidR="00D74EA9" w:rsidRPr="00A37B50" w:rsidRDefault="00D74EA9" w:rsidP="00D74EA9">
      <w:pPr>
        <w:pStyle w:val="a5"/>
        <w:widowControl/>
        <w:numPr>
          <w:ilvl w:val="0"/>
          <w:numId w:val="2"/>
        </w:numPr>
        <w:snapToGrid w:val="0"/>
        <w:spacing w:beforeLines="50" w:before="180" w:line="300" w:lineRule="auto"/>
        <w:ind w:leftChars="0"/>
        <w:rPr>
          <w:rFonts w:asciiTheme="minorEastAsia" w:hAnsiTheme="minorEastAsia" w:cs="新細明體"/>
          <w:bCs/>
          <w:kern w:val="0"/>
          <w:szCs w:val="24"/>
        </w:rPr>
      </w:pPr>
      <w:r w:rsidRPr="00A37B50">
        <w:rPr>
          <w:rFonts w:asciiTheme="minorEastAsia" w:hAnsiTheme="minorEastAsia" w:cs="新細明體"/>
          <w:bCs/>
          <w:kern w:val="0"/>
          <w:szCs w:val="24"/>
        </w:rPr>
        <w:t>管理高層的權力與薪資酬勞：未來將規範企業必須揭露董事會或管理高層的資訊，其中將分為7個主題。此將促使董事會成員或管理高層更積極地參與企業永續發展的規劃；企業未來也須揭露董事會成員或管理高層等所獲得之薪資酬勞；避免董事會及高階經理人如同過去幾年為追尋高額的激勵獎金，而使企業經營政策方向趨於追求高風險之投資，因此造成2007</w:t>
      </w:r>
      <w:proofErr w:type="gramStart"/>
      <w:r w:rsidRPr="00A37B50">
        <w:rPr>
          <w:rFonts w:asciiTheme="minorEastAsia" w:hAnsiTheme="minorEastAsia" w:cs="新細明體"/>
          <w:bCs/>
          <w:kern w:val="0"/>
          <w:szCs w:val="24"/>
        </w:rPr>
        <w:t>次貸</w:t>
      </w:r>
      <w:proofErr w:type="gramEnd"/>
      <w:r w:rsidRPr="00A37B50">
        <w:rPr>
          <w:rFonts w:asciiTheme="minorEastAsia" w:hAnsiTheme="minorEastAsia" w:cs="新細明體"/>
          <w:bCs/>
          <w:kern w:val="0"/>
          <w:szCs w:val="24"/>
        </w:rPr>
        <w:t>風暴及2008年金融危機，此等都造成經濟體系產生重大的問題。</w:t>
      </w:r>
    </w:p>
    <w:p w:rsidR="00D74EA9" w:rsidRPr="00A37B50" w:rsidRDefault="00D74EA9" w:rsidP="00D74EA9">
      <w:pPr>
        <w:pStyle w:val="a5"/>
        <w:widowControl/>
        <w:numPr>
          <w:ilvl w:val="0"/>
          <w:numId w:val="2"/>
        </w:numPr>
        <w:snapToGrid w:val="0"/>
        <w:spacing w:beforeLines="50" w:before="180" w:line="300" w:lineRule="auto"/>
        <w:ind w:leftChars="0"/>
        <w:rPr>
          <w:rFonts w:asciiTheme="minorEastAsia" w:hAnsiTheme="minorEastAsia" w:cs="新細明體"/>
          <w:bCs/>
          <w:kern w:val="0"/>
          <w:szCs w:val="24"/>
        </w:rPr>
      </w:pPr>
      <w:r w:rsidRPr="00A37B50">
        <w:rPr>
          <w:rFonts w:asciiTheme="minorEastAsia" w:hAnsiTheme="minorEastAsia" w:cs="新細明體"/>
          <w:bCs/>
          <w:kern w:val="0"/>
          <w:szCs w:val="24"/>
        </w:rPr>
        <w:t>供應鏈：GRI G4版將要求企業公布供應鏈廠商之資訊，這意味著企業未來需對上、下游廠商進行監督與要求，此將促使供應鏈建立整體的改進措施。</w:t>
      </w:r>
    </w:p>
    <w:p w:rsidR="00D74EA9" w:rsidRPr="00A37B50" w:rsidRDefault="00D74EA9" w:rsidP="00D74EA9">
      <w:pPr>
        <w:pStyle w:val="a5"/>
        <w:widowControl/>
        <w:numPr>
          <w:ilvl w:val="0"/>
          <w:numId w:val="2"/>
        </w:numPr>
        <w:shd w:val="clear" w:color="auto" w:fill="FFFFFF"/>
        <w:snapToGrid w:val="0"/>
        <w:spacing w:beforeLines="50" w:before="180" w:line="300" w:lineRule="auto"/>
        <w:ind w:leftChars="0" w:right="313"/>
        <w:jc w:val="both"/>
        <w:rPr>
          <w:rFonts w:asciiTheme="minorEastAsia" w:hAnsiTheme="minorEastAsia" w:cs="新細明體" w:hint="eastAsia"/>
          <w:bCs/>
          <w:kern w:val="0"/>
          <w:szCs w:val="24"/>
        </w:rPr>
      </w:pPr>
      <w:r w:rsidRPr="00A37B50">
        <w:rPr>
          <w:rFonts w:asciiTheme="minorEastAsia" w:hAnsiTheme="minorEastAsia" w:cs="新細明體"/>
          <w:bCs/>
          <w:kern w:val="0"/>
          <w:szCs w:val="24"/>
        </w:rPr>
        <w:t>架構與格式：將改進報告書的架構與格式讓閱讀者更容易進行閱讀；並提供更清楚與透明的資訊內容，使利益關係人與閱讀人能清楚地了解企業實際執行永續政策的情形。</w:t>
      </w:r>
    </w:p>
    <w:p w:rsidR="00D74EA9" w:rsidRPr="00CF47FA" w:rsidRDefault="00D74EA9" w:rsidP="00D74EA9">
      <w:pPr>
        <w:widowControl/>
        <w:shd w:val="clear" w:color="auto" w:fill="FFFFFF"/>
        <w:snapToGrid w:val="0"/>
        <w:spacing w:beforeLines="50" w:before="180" w:line="300" w:lineRule="auto"/>
        <w:ind w:right="313"/>
        <w:jc w:val="both"/>
        <w:rPr>
          <w:rFonts w:ascii="Times New Roman" w:eastAsia="新細明體" w:hAnsi="Times New Roman" w:cs="Times New Roman"/>
          <w:bCs/>
          <w:kern w:val="0"/>
          <w:szCs w:val="24"/>
        </w:rPr>
      </w:pPr>
    </w:p>
    <w:p w:rsidR="00E13D3B" w:rsidRPr="00267662" w:rsidRDefault="00E13D3B" w:rsidP="00D74EA9">
      <w:pPr>
        <w:widowControl/>
        <w:rPr>
          <w:rFonts w:asciiTheme="majorEastAsia" w:eastAsiaTheme="majorEastAsia" w:hAnsiTheme="majorEastAsia" w:cs="新細明體"/>
          <w:b/>
          <w:kern w:val="0"/>
          <w:sz w:val="28"/>
          <w:szCs w:val="28"/>
        </w:rPr>
      </w:pPr>
      <w:r w:rsidRPr="00267662">
        <w:rPr>
          <w:rFonts w:asciiTheme="majorEastAsia" w:eastAsiaTheme="majorEastAsia" w:hAnsiTheme="majorEastAsia" w:cs="新細明體"/>
          <w:b/>
          <w:kern w:val="0"/>
          <w:sz w:val="28"/>
          <w:szCs w:val="28"/>
        </w:rPr>
        <w:t>歐盟</w:t>
      </w:r>
      <w:proofErr w:type="gramStart"/>
      <w:r w:rsidRPr="00267662">
        <w:rPr>
          <w:rFonts w:asciiTheme="majorEastAsia" w:eastAsiaTheme="majorEastAsia" w:hAnsiTheme="majorEastAsia" w:cs="新細明體"/>
          <w:b/>
          <w:kern w:val="0"/>
          <w:sz w:val="28"/>
          <w:szCs w:val="28"/>
        </w:rPr>
        <w:t>將</w:t>
      </w:r>
      <w:bookmarkStart w:id="0" w:name="_GoBack"/>
      <w:bookmarkEnd w:id="0"/>
      <w:r w:rsidRPr="00267662">
        <w:rPr>
          <w:rFonts w:asciiTheme="majorEastAsia" w:eastAsiaTheme="majorEastAsia" w:hAnsiTheme="majorEastAsia" w:cs="新細明體"/>
          <w:b/>
          <w:kern w:val="0"/>
          <w:sz w:val="28"/>
          <w:szCs w:val="28"/>
        </w:rPr>
        <w:t>減排與</w:t>
      </w:r>
      <w:proofErr w:type="gramEnd"/>
      <w:r w:rsidRPr="00267662">
        <w:rPr>
          <w:rFonts w:asciiTheme="majorEastAsia" w:eastAsiaTheme="majorEastAsia" w:hAnsiTheme="majorEastAsia" w:cs="新細明體"/>
          <w:b/>
          <w:kern w:val="0"/>
          <w:sz w:val="28"/>
          <w:szCs w:val="28"/>
        </w:rPr>
        <w:t>節能目標納入法令規範</w:t>
      </w:r>
      <w:r w:rsidR="00C72F01">
        <w:rPr>
          <w:rFonts w:asciiTheme="majorEastAsia" w:eastAsiaTheme="majorEastAsia" w:hAnsiTheme="majorEastAsia" w:cs="新細明體" w:hint="eastAsia"/>
          <w:b/>
          <w:kern w:val="0"/>
          <w:sz w:val="28"/>
          <w:szCs w:val="28"/>
        </w:rPr>
        <w:t>(</w:t>
      </w:r>
      <w:proofErr w:type="spellStart"/>
      <w:r w:rsidR="00C72F01">
        <w:rPr>
          <w:rFonts w:asciiTheme="majorEastAsia" w:eastAsiaTheme="majorEastAsia" w:hAnsiTheme="majorEastAsia" w:cs="新細明體" w:hint="eastAsia"/>
          <w:b/>
          <w:kern w:val="0"/>
          <w:sz w:val="28"/>
          <w:szCs w:val="28"/>
        </w:rPr>
        <w:t>CorporateRegister</w:t>
      </w:r>
      <w:proofErr w:type="spellEnd"/>
      <w:r w:rsidR="00C72F01">
        <w:rPr>
          <w:rFonts w:asciiTheme="majorEastAsia" w:eastAsiaTheme="majorEastAsia" w:hAnsiTheme="majorEastAsia" w:cs="新細明體" w:hint="eastAsia"/>
          <w:b/>
          <w:kern w:val="0"/>
          <w:sz w:val="28"/>
          <w:szCs w:val="28"/>
        </w:rPr>
        <w:t>, 2012/7/4)</w:t>
      </w:r>
    </w:p>
    <w:p w:rsidR="00E13D3B" w:rsidRPr="00245D58" w:rsidRDefault="00E525E4" w:rsidP="00E654AC">
      <w:pPr>
        <w:shd w:val="clear" w:color="auto" w:fill="FFFFFF"/>
        <w:snapToGrid w:val="0"/>
        <w:spacing w:beforeLines="50" w:before="180" w:line="300" w:lineRule="auto"/>
        <w:ind w:right="313"/>
        <w:jc w:val="both"/>
        <w:rPr>
          <w:rFonts w:ascii="Times New Roman" w:hAnsi="Times New Roman" w:cs="Times New Roman"/>
          <w:szCs w:val="24"/>
        </w:rPr>
      </w:pPr>
      <w:hyperlink r:id="rId18" w:history="1">
        <w:r w:rsidR="00E13D3B" w:rsidRPr="00245D58">
          <w:rPr>
            <w:rStyle w:val="a3"/>
            <w:rFonts w:ascii="Times New Roman" w:hAnsi="Times New Roman" w:cs="Times New Roman"/>
            <w:szCs w:val="24"/>
          </w:rPr>
          <w:t>http://www.corporateregister.com/new</w:t>
        </w:r>
        <w:r w:rsidR="00E13D3B" w:rsidRPr="00245D58">
          <w:rPr>
            <w:rStyle w:val="a3"/>
            <w:rFonts w:ascii="Times New Roman" w:hAnsi="Times New Roman" w:cs="Times New Roman"/>
            <w:szCs w:val="24"/>
          </w:rPr>
          <w:t>s</w:t>
        </w:r>
        <w:r w:rsidR="00E13D3B" w:rsidRPr="00245D58">
          <w:rPr>
            <w:rStyle w:val="a3"/>
            <w:rFonts w:ascii="Times New Roman" w:hAnsi="Times New Roman" w:cs="Times New Roman"/>
            <w:szCs w:val="24"/>
          </w:rPr>
          <w:t>/</w:t>
        </w:r>
        <w:r w:rsidR="00E13D3B" w:rsidRPr="00245D58">
          <w:rPr>
            <w:rStyle w:val="a3"/>
            <w:rFonts w:ascii="Times New Roman" w:hAnsi="Times New Roman" w:cs="Times New Roman"/>
            <w:szCs w:val="24"/>
          </w:rPr>
          <w:t>item/?n=157</w:t>
        </w:r>
      </w:hyperlink>
    </w:p>
    <w:p w:rsidR="00E13D3B" w:rsidRPr="00A37B50" w:rsidRDefault="00E13D3B" w:rsidP="00E654AC">
      <w:pPr>
        <w:pStyle w:val="Web"/>
        <w:snapToGrid w:val="0"/>
        <w:spacing w:beforeLines="50" w:before="180" w:beforeAutospacing="0" w:after="0" w:afterAutospacing="0" w:line="300" w:lineRule="auto"/>
        <w:rPr>
          <w:rFonts w:ascii="Times New Roman" w:eastAsiaTheme="minorEastAsia" w:hAnsi="Times New Roman" w:cs="Times New Roman"/>
        </w:rPr>
      </w:pPr>
      <w:r w:rsidRPr="00A37B50">
        <w:rPr>
          <w:rFonts w:ascii="Times New Roman" w:eastAsiaTheme="minorEastAsia" w:hAnsi="Times New Roman" w:cs="Times New Roman"/>
        </w:rPr>
        <w:t>近年</w:t>
      </w:r>
      <w:r w:rsidR="00C8358F" w:rsidRPr="00A37B50">
        <w:rPr>
          <w:rFonts w:ascii="Times New Roman" w:eastAsiaTheme="minorEastAsia" w:hAnsi="Times New Roman" w:cs="Times New Roman" w:hint="eastAsia"/>
        </w:rPr>
        <w:t>來</w:t>
      </w:r>
      <w:r w:rsidRPr="00A37B50">
        <w:rPr>
          <w:rFonts w:ascii="Times New Roman" w:eastAsiaTheme="minorEastAsia" w:hAnsi="Times New Roman" w:cs="Times New Roman"/>
        </w:rPr>
        <w:t>各國因應綠色成長議題提出節能與碳排放減量政策並納入法律規範，藉以達到國家永續發展之</w:t>
      </w:r>
      <w:r w:rsidR="00DB63A0">
        <w:rPr>
          <w:rFonts w:ascii="Times New Roman" w:eastAsiaTheme="minorEastAsia" w:hAnsi="Times New Roman" w:cs="Times New Roman" w:hint="eastAsia"/>
        </w:rPr>
        <w:t>願景</w:t>
      </w:r>
      <w:r w:rsidRPr="00A37B50">
        <w:rPr>
          <w:rFonts w:ascii="Times New Roman" w:eastAsiaTheme="minorEastAsia" w:hAnsi="Times New Roman" w:cs="Times New Roman"/>
        </w:rPr>
        <w:t>。其中，歐盟已訂</w:t>
      </w:r>
      <w:proofErr w:type="gramStart"/>
      <w:r w:rsidRPr="00A37B50">
        <w:rPr>
          <w:rFonts w:ascii="Times New Roman" w:eastAsiaTheme="minorEastAsia" w:hAnsi="Times New Roman" w:cs="Times New Roman"/>
        </w:rPr>
        <w:t>定減排</w:t>
      </w:r>
      <w:proofErr w:type="gramEnd"/>
      <w:r w:rsidRPr="00A37B50">
        <w:rPr>
          <w:rFonts w:ascii="Times New Roman" w:eastAsiaTheme="minorEastAsia" w:hAnsi="Times New Roman" w:cs="Times New Roman"/>
        </w:rPr>
        <w:t>目標且預計新增節能相關之法令，</w:t>
      </w:r>
      <w:r w:rsidR="00C8358F" w:rsidRPr="00A37B50">
        <w:rPr>
          <w:rFonts w:ascii="Times New Roman" w:eastAsiaTheme="minorEastAsia" w:hAnsi="Times New Roman" w:cs="Times New Roman" w:hint="eastAsia"/>
        </w:rPr>
        <w:t>以</w:t>
      </w:r>
      <w:r w:rsidRPr="00A37B50">
        <w:rPr>
          <w:rFonts w:ascii="Times New Roman" w:eastAsiaTheme="minorEastAsia" w:hAnsi="Times New Roman" w:cs="Times New Roman"/>
        </w:rPr>
        <w:t>非強制性</w:t>
      </w:r>
      <w:r w:rsidR="00C8358F" w:rsidRPr="00A37B50">
        <w:rPr>
          <w:rFonts w:ascii="Times New Roman" w:eastAsiaTheme="minorEastAsia" w:hAnsi="Times New Roman" w:cs="Times New Roman" w:hint="eastAsia"/>
        </w:rPr>
        <w:t>作法，</w:t>
      </w:r>
      <w:r w:rsidRPr="00A37B50">
        <w:rPr>
          <w:rFonts w:ascii="Times New Roman" w:eastAsiaTheme="minorEastAsia" w:hAnsi="Times New Roman" w:cs="Times New Roman"/>
        </w:rPr>
        <w:t>要求</w:t>
      </w:r>
      <w:r w:rsidRPr="00A37B50">
        <w:rPr>
          <w:rFonts w:ascii="Times New Roman" w:eastAsiaTheme="minorEastAsia" w:hAnsi="Times New Roman" w:cs="Times New Roman"/>
        </w:rPr>
        <w:t>27</w:t>
      </w:r>
      <w:r w:rsidRPr="00A37B50">
        <w:rPr>
          <w:rFonts w:ascii="Times New Roman" w:eastAsiaTheme="minorEastAsia" w:hAnsi="Times New Roman" w:cs="Times New Roman"/>
        </w:rPr>
        <w:t>個會員國朝此目標邁進。</w:t>
      </w:r>
      <w:r w:rsidR="00C8358F" w:rsidRPr="00A37B50">
        <w:rPr>
          <w:rFonts w:ascii="Times New Roman" w:eastAsiaTheme="minorEastAsia" w:hAnsi="Times New Roman" w:cs="Times New Roman" w:hint="eastAsia"/>
        </w:rPr>
        <w:t>歐盟所訂定的目標如下：</w:t>
      </w:r>
    </w:p>
    <w:p w:rsidR="00E13D3B" w:rsidRPr="00A37B50" w:rsidRDefault="00E13D3B" w:rsidP="00E654AC">
      <w:pPr>
        <w:pStyle w:val="Web"/>
        <w:snapToGrid w:val="0"/>
        <w:spacing w:beforeLines="50" w:before="180" w:beforeAutospacing="0" w:after="0" w:afterAutospacing="0" w:line="300" w:lineRule="auto"/>
        <w:rPr>
          <w:rFonts w:ascii="Times New Roman" w:eastAsiaTheme="minorEastAsia" w:hAnsi="Times New Roman" w:cs="Times New Roman"/>
        </w:rPr>
      </w:pPr>
      <w:r w:rsidRPr="00A37B50">
        <w:rPr>
          <w:rFonts w:ascii="Times New Roman" w:eastAsiaTheme="minorEastAsia" w:hAnsi="Times New Roman" w:cs="Times New Roman"/>
        </w:rPr>
        <w:t>1.</w:t>
      </w:r>
      <w:r w:rsidRPr="00A37B50">
        <w:rPr>
          <w:rFonts w:ascii="Times New Roman" w:eastAsiaTheme="minorEastAsia" w:hAnsi="Times New Roman" w:cs="Times New Roman"/>
        </w:rPr>
        <w:t>以</w:t>
      </w:r>
      <w:proofErr w:type="gramStart"/>
      <w:r w:rsidRPr="00A37B50">
        <w:rPr>
          <w:rFonts w:ascii="Times New Roman" w:eastAsiaTheme="minorEastAsia" w:hAnsi="Times New Roman" w:cs="Times New Roman"/>
        </w:rPr>
        <w:t>1990</w:t>
      </w:r>
      <w:r w:rsidRPr="00A37B50">
        <w:rPr>
          <w:rFonts w:ascii="Times New Roman" w:eastAsiaTheme="minorEastAsia" w:hAnsi="Times New Roman" w:cs="Times New Roman"/>
        </w:rPr>
        <w:t>年之碳排放</w:t>
      </w:r>
      <w:proofErr w:type="gramEnd"/>
      <w:r w:rsidRPr="00A37B50">
        <w:rPr>
          <w:rFonts w:ascii="Times New Roman" w:eastAsiaTheme="minorEastAsia" w:hAnsi="Times New Roman" w:cs="Times New Roman"/>
        </w:rPr>
        <w:t>量為基準，於</w:t>
      </w:r>
      <w:r w:rsidRPr="00A37B50">
        <w:rPr>
          <w:rFonts w:ascii="Times New Roman" w:eastAsiaTheme="minorEastAsia" w:hAnsi="Times New Roman" w:cs="Times New Roman"/>
        </w:rPr>
        <w:t>2020</w:t>
      </w:r>
      <w:r w:rsidRPr="00A37B50">
        <w:rPr>
          <w:rFonts w:ascii="Times New Roman" w:eastAsiaTheme="minorEastAsia" w:hAnsi="Times New Roman" w:cs="Times New Roman"/>
        </w:rPr>
        <w:t>年需達到</w:t>
      </w:r>
      <w:r w:rsidRPr="00A37B50">
        <w:rPr>
          <w:rFonts w:ascii="Times New Roman" w:eastAsiaTheme="minorEastAsia" w:hAnsi="Times New Roman" w:cs="Times New Roman"/>
        </w:rPr>
        <w:t>20%</w:t>
      </w:r>
      <w:r w:rsidRPr="00A37B50">
        <w:rPr>
          <w:rFonts w:ascii="Times New Roman" w:eastAsiaTheme="minorEastAsia" w:hAnsi="Times New Roman" w:cs="Times New Roman"/>
        </w:rPr>
        <w:t>減</w:t>
      </w:r>
      <w:r w:rsidR="00C8358F" w:rsidRPr="00A37B50">
        <w:rPr>
          <w:rFonts w:ascii="Times New Roman" w:eastAsiaTheme="minorEastAsia" w:hAnsi="Times New Roman" w:cs="Times New Roman" w:hint="eastAsia"/>
        </w:rPr>
        <w:t>量</w:t>
      </w:r>
      <w:r w:rsidRPr="00A37B50">
        <w:rPr>
          <w:rFonts w:ascii="Times New Roman" w:eastAsiaTheme="minorEastAsia" w:hAnsi="Times New Roman" w:cs="Times New Roman"/>
        </w:rPr>
        <w:t>目標。</w:t>
      </w:r>
      <w:r w:rsidRPr="00A37B50">
        <w:rPr>
          <w:rFonts w:ascii="Times New Roman" w:eastAsiaTheme="minorEastAsia" w:hAnsi="Times New Roman" w:cs="Times New Roman"/>
        </w:rPr>
        <w:br/>
        <w:t>2.</w:t>
      </w:r>
      <w:r w:rsidRPr="00A37B50">
        <w:rPr>
          <w:rFonts w:ascii="Times New Roman" w:eastAsiaTheme="minorEastAsia" w:hAnsi="Times New Roman" w:cs="Times New Roman"/>
        </w:rPr>
        <w:t>於</w:t>
      </w:r>
      <w:r w:rsidRPr="00A37B50">
        <w:rPr>
          <w:rFonts w:ascii="Times New Roman" w:eastAsiaTheme="minorEastAsia" w:hAnsi="Times New Roman" w:cs="Times New Roman"/>
        </w:rPr>
        <w:t>2020</w:t>
      </w:r>
      <w:r w:rsidRPr="00A37B50">
        <w:rPr>
          <w:rFonts w:ascii="Times New Roman" w:eastAsiaTheme="minorEastAsia" w:hAnsi="Times New Roman" w:cs="Times New Roman"/>
        </w:rPr>
        <w:t>年</w:t>
      </w:r>
      <w:r w:rsidR="00C8358F" w:rsidRPr="00A37B50">
        <w:rPr>
          <w:rFonts w:ascii="Times New Roman" w:eastAsiaTheme="minorEastAsia" w:hAnsi="Times New Roman" w:cs="Times New Roman" w:hint="eastAsia"/>
        </w:rPr>
        <w:t>減少</w:t>
      </w:r>
      <w:r w:rsidRPr="00A37B50">
        <w:rPr>
          <w:rFonts w:ascii="Times New Roman" w:eastAsiaTheme="minorEastAsia" w:hAnsi="Times New Roman" w:cs="Times New Roman"/>
        </w:rPr>
        <w:t>17%</w:t>
      </w:r>
      <w:r w:rsidR="00C8358F" w:rsidRPr="00A37B50">
        <w:rPr>
          <w:rFonts w:ascii="Times New Roman" w:eastAsiaTheme="minorEastAsia" w:hAnsi="Times New Roman" w:cs="Times New Roman" w:hint="eastAsia"/>
        </w:rPr>
        <w:t>的</w:t>
      </w:r>
      <w:r w:rsidRPr="00A37B50">
        <w:rPr>
          <w:rFonts w:ascii="Times New Roman" w:eastAsiaTheme="minorEastAsia" w:hAnsi="Times New Roman" w:cs="Times New Roman"/>
        </w:rPr>
        <w:t>能源消耗。</w:t>
      </w:r>
    </w:p>
    <w:p w:rsidR="00E13D3B" w:rsidRPr="00A37B50" w:rsidRDefault="00E13D3B" w:rsidP="00E654AC">
      <w:pPr>
        <w:pStyle w:val="Web"/>
        <w:snapToGrid w:val="0"/>
        <w:spacing w:beforeLines="50" w:before="180" w:beforeAutospacing="0" w:after="0" w:afterAutospacing="0" w:line="300" w:lineRule="auto"/>
        <w:rPr>
          <w:rFonts w:ascii="Times New Roman" w:eastAsiaTheme="minorEastAsia" w:hAnsi="Times New Roman" w:cs="Times New Roman"/>
        </w:rPr>
      </w:pPr>
      <w:r w:rsidRPr="00A37B50">
        <w:rPr>
          <w:rFonts w:ascii="Times New Roman" w:eastAsiaTheme="minorEastAsia" w:hAnsi="Times New Roman" w:cs="Times New Roman"/>
        </w:rPr>
        <w:t>2010</w:t>
      </w:r>
      <w:r w:rsidRPr="00A37B50">
        <w:rPr>
          <w:rFonts w:ascii="Times New Roman" w:eastAsiaTheme="minorEastAsia" w:hAnsi="Times New Roman" w:cs="Times New Roman"/>
        </w:rPr>
        <w:t>年</w:t>
      </w:r>
      <w:r w:rsidRPr="00A37B50">
        <w:rPr>
          <w:rFonts w:ascii="Times New Roman" w:eastAsiaTheme="minorEastAsia" w:hAnsi="Times New Roman" w:cs="Times New Roman"/>
        </w:rPr>
        <w:t>5</w:t>
      </w:r>
      <w:r w:rsidRPr="00A37B50">
        <w:rPr>
          <w:rFonts w:ascii="Times New Roman" w:eastAsiaTheme="minorEastAsia" w:hAnsi="Times New Roman" w:cs="Times New Roman"/>
        </w:rPr>
        <w:t>月歐盟</w:t>
      </w:r>
      <w:r w:rsidR="00A37B50">
        <w:rPr>
          <w:rFonts w:ascii="Times New Roman" w:eastAsiaTheme="minorEastAsia" w:hAnsi="Times New Roman" w:cs="Times New Roman" w:hint="eastAsia"/>
        </w:rPr>
        <w:t>執委</w:t>
      </w:r>
      <w:r w:rsidRPr="00A37B50">
        <w:rPr>
          <w:rFonts w:ascii="Times New Roman" w:eastAsiaTheme="minorEastAsia" w:hAnsi="Times New Roman" w:cs="Times New Roman"/>
        </w:rPr>
        <w:t>會分析出</w:t>
      </w:r>
      <w:r w:rsidR="00A37B50">
        <w:rPr>
          <w:rFonts w:ascii="Times New Roman" w:eastAsiaTheme="minorEastAsia" w:hAnsi="Times New Roman" w:cs="Times New Roman" w:hint="eastAsia"/>
        </w:rPr>
        <w:t>，要達到這個減量目標，歐盟地區每</w:t>
      </w:r>
      <w:r w:rsidRPr="00A37B50">
        <w:rPr>
          <w:rFonts w:ascii="Times New Roman" w:eastAsiaTheme="minorEastAsia" w:hAnsi="Times New Roman" w:cs="Times New Roman"/>
        </w:rPr>
        <w:t>年需耗資</w:t>
      </w:r>
      <w:r w:rsidRPr="00A37B50">
        <w:rPr>
          <w:rFonts w:ascii="Times New Roman" w:eastAsiaTheme="minorEastAsia" w:hAnsi="Times New Roman" w:cs="Times New Roman"/>
        </w:rPr>
        <w:t>48</w:t>
      </w:r>
      <w:r w:rsidRPr="00A37B50">
        <w:rPr>
          <w:rFonts w:ascii="Times New Roman" w:eastAsiaTheme="minorEastAsia" w:hAnsi="Times New Roman" w:cs="Times New Roman"/>
        </w:rPr>
        <w:t>億歐元，表示各國推動相關節能政策將面臨到經濟壓力問題</w:t>
      </w:r>
      <w:r w:rsidR="00A37B50">
        <w:rPr>
          <w:rFonts w:ascii="Times New Roman" w:eastAsiaTheme="minorEastAsia" w:hAnsi="Times New Roman" w:cs="Times New Roman" w:hint="eastAsia"/>
        </w:rPr>
        <w:t>。</w:t>
      </w:r>
      <w:r w:rsidRPr="00A37B50">
        <w:rPr>
          <w:rFonts w:ascii="Times New Roman" w:eastAsiaTheme="minorEastAsia" w:hAnsi="Times New Roman" w:cs="Times New Roman"/>
        </w:rPr>
        <w:t>如英國再生能源補貼制度於</w:t>
      </w:r>
      <w:r w:rsidRPr="00A37B50">
        <w:rPr>
          <w:rFonts w:ascii="Times New Roman" w:eastAsiaTheme="minorEastAsia" w:hAnsi="Times New Roman" w:cs="Times New Roman"/>
        </w:rPr>
        <w:t>2020</w:t>
      </w:r>
      <w:r w:rsidRPr="00A37B50">
        <w:rPr>
          <w:rFonts w:ascii="Times New Roman" w:eastAsiaTheme="minorEastAsia" w:hAnsi="Times New Roman" w:cs="Times New Roman"/>
        </w:rPr>
        <w:t>年將使煉鋼、製陶、造紙等特定產業提升增加</w:t>
      </w:r>
      <w:r w:rsidRPr="00A37B50">
        <w:rPr>
          <w:rFonts w:ascii="Times New Roman" w:eastAsiaTheme="minorEastAsia" w:hAnsi="Times New Roman" w:cs="Times New Roman"/>
        </w:rPr>
        <w:t>141%</w:t>
      </w:r>
      <w:r w:rsidRPr="00A37B50">
        <w:rPr>
          <w:rFonts w:ascii="Times New Roman" w:eastAsiaTheme="minorEastAsia" w:hAnsi="Times New Roman" w:cs="Times New Roman"/>
        </w:rPr>
        <w:t>能源成本、西班牙再生能源補貼制度於</w:t>
      </w:r>
      <w:r w:rsidRPr="00A37B50">
        <w:rPr>
          <w:rFonts w:ascii="Times New Roman" w:eastAsiaTheme="minorEastAsia" w:hAnsi="Times New Roman" w:cs="Times New Roman"/>
        </w:rPr>
        <w:t>2009</w:t>
      </w:r>
      <w:r w:rsidRPr="00A37B50">
        <w:rPr>
          <w:rFonts w:ascii="Times New Roman" w:eastAsiaTheme="minorEastAsia" w:hAnsi="Times New Roman" w:cs="Times New Roman"/>
        </w:rPr>
        <w:t>年導致減少</w:t>
      </w:r>
      <w:r w:rsidRPr="00A37B50">
        <w:rPr>
          <w:rFonts w:ascii="Times New Roman" w:eastAsiaTheme="minorEastAsia" w:hAnsi="Times New Roman" w:cs="Times New Roman"/>
        </w:rPr>
        <w:t>110,500</w:t>
      </w:r>
      <w:r w:rsidRPr="00A37B50">
        <w:rPr>
          <w:rFonts w:ascii="Times New Roman" w:eastAsiaTheme="minorEastAsia" w:hAnsi="Times New Roman" w:cs="Times New Roman"/>
        </w:rPr>
        <w:t>個工作職缺。</w:t>
      </w:r>
    </w:p>
    <w:p w:rsidR="00E13D3B" w:rsidRPr="00A37B50" w:rsidRDefault="00E13D3B" w:rsidP="00E654AC">
      <w:pPr>
        <w:pStyle w:val="Web"/>
        <w:snapToGrid w:val="0"/>
        <w:spacing w:beforeLines="50" w:before="180" w:beforeAutospacing="0" w:after="0" w:afterAutospacing="0" w:line="300" w:lineRule="auto"/>
        <w:rPr>
          <w:rFonts w:ascii="Times New Roman" w:eastAsiaTheme="minorEastAsia" w:hAnsi="Times New Roman" w:cs="Times New Roman"/>
        </w:rPr>
      </w:pPr>
      <w:r w:rsidRPr="00A37B50">
        <w:rPr>
          <w:rFonts w:ascii="Times New Roman" w:eastAsiaTheme="minorEastAsia" w:hAnsi="Times New Roman" w:cs="Times New Roman"/>
        </w:rPr>
        <w:lastRenderedPageBreak/>
        <w:t>今年</w:t>
      </w:r>
      <w:r w:rsidRPr="00A37B50">
        <w:rPr>
          <w:rFonts w:ascii="Times New Roman" w:eastAsiaTheme="minorEastAsia" w:hAnsi="Times New Roman" w:cs="Times New Roman"/>
        </w:rPr>
        <w:t>9</w:t>
      </w:r>
      <w:r w:rsidRPr="00A37B50">
        <w:rPr>
          <w:rFonts w:ascii="Times New Roman" w:eastAsiaTheme="minorEastAsia" w:hAnsi="Times New Roman" w:cs="Times New Roman"/>
        </w:rPr>
        <w:t>月，歐盟</w:t>
      </w:r>
      <w:r w:rsidRPr="00A37B50">
        <w:rPr>
          <w:rFonts w:ascii="Times New Roman" w:eastAsiaTheme="minorEastAsia" w:hAnsi="Times New Roman" w:cs="Times New Roman"/>
        </w:rPr>
        <w:t>17%</w:t>
      </w:r>
      <w:r w:rsidR="00A37B50">
        <w:rPr>
          <w:rFonts w:ascii="Times New Roman" w:eastAsiaTheme="minorEastAsia" w:hAnsi="Times New Roman" w:cs="Times New Roman" w:hint="eastAsia"/>
        </w:rPr>
        <w:t>的</w:t>
      </w:r>
      <w:r w:rsidRPr="00A37B50">
        <w:rPr>
          <w:rFonts w:ascii="Times New Roman" w:eastAsiaTheme="minorEastAsia" w:hAnsi="Times New Roman" w:cs="Times New Roman"/>
        </w:rPr>
        <w:t>節能標準</w:t>
      </w:r>
      <w:r w:rsidR="00A37B50">
        <w:rPr>
          <w:rFonts w:ascii="Times New Roman" w:eastAsiaTheme="minorEastAsia" w:hAnsi="Times New Roman" w:cs="Times New Roman" w:hint="eastAsia"/>
        </w:rPr>
        <w:t>須</w:t>
      </w:r>
      <w:r w:rsidRPr="00A37B50">
        <w:rPr>
          <w:rFonts w:ascii="Times New Roman" w:eastAsiaTheme="minorEastAsia" w:hAnsi="Times New Roman" w:cs="Times New Roman"/>
        </w:rPr>
        <w:t>取得歐洲議會批准才會正式上路。目前，已有國家訂定</w:t>
      </w:r>
      <w:r w:rsidRPr="00A37B50">
        <w:rPr>
          <w:rFonts w:ascii="Times New Roman" w:eastAsiaTheme="minorEastAsia" w:hAnsi="Times New Roman" w:cs="Times New Roman"/>
        </w:rPr>
        <w:t>20%</w:t>
      </w:r>
      <w:r w:rsidR="00A37B50">
        <w:rPr>
          <w:rFonts w:ascii="Times New Roman" w:eastAsiaTheme="minorEastAsia" w:hAnsi="Times New Roman" w:cs="Times New Roman" w:hint="eastAsia"/>
        </w:rPr>
        <w:t>的</w:t>
      </w:r>
      <w:r w:rsidRPr="00A37B50">
        <w:rPr>
          <w:rFonts w:ascii="Times New Roman" w:eastAsiaTheme="minorEastAsia" w:hAnsi="Times New Roman" w:cs="Times New Roman"/>
        </w:rPr>
        <w:t>節能目標，相較於歐盟初步規範，其目標不增反減，引起各界高度關注，其建議調整縮減能耗比例。</w:t>
      </w:r>
    </w:p>
    <w:p w:rsidR="00AC6B81" w:rsidRPr="00AC6B81" w:rsidRDefault="00AC6B81" w:rsidP="00E654AC">
      <w:pPr>
        <w:widowControl/>
        <w:snapToGrid w:val="0"/>
        <w:spacing w:beforeLines="50" w:before="180" w:line="300" w:lineRule="auto"/>
        <w:jc w:val="center"/>
        <w:rPr>
          <w:rFonts w:asciiTheme="minorEastAsia" w:hAnsiTheme="minorEastAsia" w:cs="新細明體"/>
          <w:b/>
          <w:bCs/>
          <w:kern w:val="0"/>
          <w:sz w:val="27"/>
          <w:szCs w:val="27"/>
        </w:rPr>
      </w:pPr>
    </w:p>
    <w:sectPr w:rsidR="00AC6B81" w:rsidRPr="00AC6B81" w:rsidSect="00C72F01">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1C18"/>
    <w:multiLevelType w:val="multilevel"/>
    <w:tmpl w:val="E3A86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6646F2"/>
    <w:multiLevelType w:val="hybridMultilevel"/>
    <w:tmpl w:val="6DC493D8"/>
    <w:lvl w:ilvl="0" w:tplc="4F469E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1437059"/>
    <w:multiLevelType w:val="hybridMultilevel"/>
    <w:tmpl w:val="AD60E15C"/>
    <w:lvl w:ilvl="0" w:tplc="C81698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E3E"/>
    <w:rsid w:val="000B3FCD"/>
    <w:rsid w:val="000C6453"/>
    <w:rsid w:val="00105E5A"/>
    <w:rsid w:val="00153B22"/>
    <w:rsid w:val="001E2AAC"/>
    <w:rsid w:val="00245D58"/>
    <w:rsid w:val="00267662"/>
    <w:rsid w:val="0027610E"/>
    <w:rsid w:val="003E0496"/>
    <w:rsid w:val="004376E3"/>
    <w:rsid w:val="004620B0"/>
    <w:rsid w:val="00465CC5"/>
    <w:rsid w:val="004E3A7C"/>
    <w:rsid w:val="00616ED3"/>
    <w:rsid w:val="006D11BC"/>
    <w:rsid w:val="006F7087"/>
    <w:rsid w:val="007776F8"/>
    <w:rsid w:val="00844F2F"/>
    <w:rsid w:val="00887F90"/>
    <w:rsid w:val="00896EF8"/>
    <w:rsid w:val="008E6E3E"/>
    <w:rsid w:val="0096652D"/>
    <w:rsid w:val="00A16C8F"/>
    <w:rsid w:val="00A37B50"/>
    <w:rsid w:val="00A8282D"/>
    <w:rsid w:val="00AC6B81"/>
    <w:rsid w:val="00AE73BB"/>
    <w:rsid w:val="00B255E5"/>
    <w:rsid w:val="00B4691F"/>
    <w:rsid w:val="00B664EF"/>
    <w:rsid w:val="00C452E0"/>
    <w:rsid w:val="00C72F01"/>
    <w:rsid w:val="00C8358F"/>
    <w:rsid w:val="00CF1DD9"/>
    <w:rsid w:val="00CF47FA"/>
    <w:rsid w:val="00D32871"/>
    <w:rsid w:val="00D74EA9"/>
    <w:rsid w:val="00DB63A0"/>
    <w:rsid w:val="00DC6578"/>
    <w:rsid w:val="00E079B9"/>
    <w:rsid w:val="00E13D3B"/>
    <w:rsid w:val="00E525E4"/>
    <w:rsid w:val="00E654AC"/>
    <w:rsid w:val="00F06043"/>
    <w:rsid w:val="00F63504"/>
    <w:rsid w:val="00F84DA6"/>
    <w:rsid w:val="00F876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5E5A"/>
    <w:rPr>
      <w:color w:val="0000FF" w:themeColor="hyperlink"/>
      <w:u w:val="single"/>
    </w:rPr>
  </w:style>
  <w:style w:type="character" w:styleId="a4">
    <w:name w:val="Strong"/>
    <w:basedOn w:val="a0"/>
    <w:uiPriority w:val="22"/>
    <w:qFormat/>
    <w:rsid w:val="00E13D3B"/>
    <w:rPr>
      <w:b/>
      <w:bCs/>
    </w:rPr>
  </w:style>
  <w:style w:type="paragraph" w:styleId="Web">
    <w:name w:val="Normal (Web)"/>
    <w:basedOn w:val="a"/>
    <w:uiPriority w:val="99"/>
    <w:unhideWhenUsed/>
    <w:rsid w:val="00E13D3B"/>
    <w:pPr>
      <w:widowControl/>
      <w:spacing w:before="100" w:beforeAutospacing="1" w:after="100" w:afterAutospacing="1"/>
    </w:pPr>
    <w:rPr>
      <w:rFonts w:ascii="新細明體" w:eastAsia="新細明體" w:hAnsi="新細明體" w:cs="新細明體"/>
      <w:kern w:val="0"/>
      <w:szCs w:val="24"/>
    </w:rPr>
  </w:style>
  <w:style w:type="paragraph" w:styleId="a5">
    <w:name w:val="List Paragraph"/>
    <w:basedOn w:val="a"/>
    <w:uiPriority w:val="34"/>
    <w:qFormat/>
    <w:rsid w:val="00E654AC"/>
    <w:pPr>
      <w:ind w:leftChars="200" w:left="480"/>
    </w:pPr>
  </w:style>
  <w:style w:type="character" w:styleId="a6">
    <w:name w:val="Emphasis"/>
    <w:basedOn w:val="a0"/>
    <w:uiPriority w:val="20"/>
    <w:qFormat/>
    <w:rsid w:val="007776F8"/>
    <w:rPr>
      <w:i/>
      <w:iCs/>
    </w:rPr>
  </w:style>
  <w:style w:type="table" w:styleId="a7">
    <w:name w:val="Table Grid"/>
    <w:basedOn w:val="a1"/>
    <w:uiPriority w:val="59"/>
    <w:rsid w:val="00267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rsid w:val="00465C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5E5A"/>
    <w:rPr>
      <w:color w:val="0000FF" w:themeColor="hyperlink"/>
      <w:u w:val="single"/>
    </w:rPr>
  </w:style>
  <w:style w:type="character" w:styleId="a4">
    <w:name w:val="Strong"/>
    <w:basedOn w:val="a0"/>
    <w:uiPriority w:val="22"/>
    <w:qFormat/>
    <w:rsid w:val="00E13D3B"/>
    <w:rPr>
      <w:b/>
      <w:bCs/>
    </w:rPr>
  </w:style>
  <w:style w:type="paragraph" w:styleId="Web">
    <w:name w:val="Normal (Web)"/>
    <w:basedOn w:val="a"/>
    <w:uiPriority w:val="99"/>
    <w:unhideWhenUsed/>
    <w:rsid w:val="00E13D3B"/>
    <w:pPr>
      <w:widowControl/>
      <w:spacing w:before="100" w:beforeAutospacing="1" w:after="100" w:afterAutospacing="1"/>
    </w:pPr>
    <w:rPr>
      <w:rFonts w:ascii="新細明體" w:eastAsia="新細明體" w:hAnsi="新細明體" w:cs="新細明體"/>
      <w:kern w:val="0"/>
      <w:szCs w:val="24"/>
    </w:rPr>
  </w:style>
  <w:style w:type="paragraph" w:styleId="a5">
    <w:name w:val="List Paragraph"/>
    <w:basedOn w:val="a"/>
    <w:uiPriority w:val="34"/>
    <w:qFormat/>
    <w:rsid w:val="00E654AC"/>
    <w:pPr>
      <w:ind w:leftChars="200" w:left="480"/>
    </w:pPr>
  </w:style>
  <w:style w:type="character" w:styleId="a6">
    <w:name w:val="Emphasis"/>
    <w:basedOn w:val="a0"/>
    <w:uiPriority w:val="20"/>
    <w:qFormat/>
    <w:rsid w:val="007776F8"/>
    <w:rPr>
      <w:i/>
      <w:iCs/>
    </w:rPr>
  </w:style>
  <w:style w:type="table" w:styleId="a7">
    <w:name w:val="Table Grid"/>
    <w:basedOn w:val="a1"/>
    <w:uiPriority w:val="59"/>
    <w:rsid w:val="00267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rsid w:val="00465C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364029">
      <w:bodyDiv w:val="1"/>
      <w:marLeft w:val="0"/>
      <w:marRight w:val="0"/>
      <w:marTop w:val="0"/>
      <w:marBottom w:val="0"/>
      <w:divBdr>
        <w:top w:val="none" w:sz="0" w:space="0" w:color="auto"/>
        <w:left w:val="none" w:sz="0" w:space="0" w:color="auto"/>
        <w:bottom w:val="none" w:sz="0" w:space="0" w:color="auto"/>
        <w:right w:val="none" w:sz="0" w:space="0" w:color="auto"/>
      </w:divBdr>
      <w:divsChild>
        <w:div w:id="1481271235">
          <w:marLeft w:val="0"/>
          <w:marRight w:val="0"/>
          <w:marTop w:val="0"/>
          <w:marBottom w:val="0"/>
          <w:divBdr>
            <w:top w:val="none" w:sz="0" w:space="0" w:color="auto"/>
            <w:left w:val="none" w:sz="0" w:space="0" w:color="auto"/>
            <w:bottom w:val="none" w:sz="0" w:space="0" w:color="auto"/>
            <w:right w:val="none" w:sz="0" w:space="0" w:color="auto"/>
          </w:divBdr>
        </w:div>
        <w:div w:id="995644821">
          <w:marLeft w:val="0"/>
          <w:marRight w:val="0"/>
          <w:marTop w:val="0"/>
          <w:marBottom w:val="0"/>
          <w:divBdr>
            <w:top w:val="none" w:sz="0" w:space="0" w:color="auto"/>
            <w:left w:val="none" w:sz="0" w:space="0" w:color="auto"/>
            <w:bottom w:val="none" w:sz="0" w:space="0" w:color="auto"/>
            <w:right w:val="none" w:sz="0" w:space="0" w:color="auto"/>
          </w:divBdr>
        </w:div>
        <w:div w:id="1474834365">
          <w:marLeft w:val="0"/>
          <w:marRight w:val="0"/>
          <w:marTop w:val="0"/>
          <w:marBottom w:val="0"/>
          <w:divBdr>
            <w:top w:val="none" w:sz="0" w:space="0" w:color="auto"/>
            <w:left w:val="none" w:sz="0" w:space="0" w:color="auto"/>
            <w:bottom w:val="none" w:sz="0" w:space="0" w:color="auto"/>
            <w:right w:val="none" w:sz="0" w:space="0" w:color="auto"/>
          </w:divBdr>
        </w:div>
        <w:div w:id="1880312924">
          <w:marLeft w:val="0"/>
          <w:marRight w:val="0"/>
          <w:marTop w:val="0"/>
          <w:marBottom w:val="0"/>
          <w:divBdr>
            <w:top w:val="none" w:sz="0" w:space="0" w:color="auto"/>
            <w:left w:val="none" w:sz="0" w:space="0" w:color="auto"/>
            <w:bottom w:val="none" w:sz="0" w:space="0" w:color="auto"/>
            <w:right w:val="none" w:sz="0" w:space="0" w:color="auto"/>
          </w:divBdr>
        </w:div>
        <w:div w:id="2112892006">
          <w:marLeft w:val="0"/>
          <w:marRight w:val="0"/>
          <w:marTop w:val="0"/>
          <w:marBottom w:val="0"/>
          <w:divBdr>
            <w:top w:val="none" w:sz="0" w:space="0" w:color="auto"/>
            <w:left w:val="none" w:sz="0" w:space="0" w:color="auto"/>
            <w:bottom w:val="none" w:sz="0" w:space="0" w:color="auto"/>
            <w:right w:val="none" w:sz="0" w:space="0" w:color="auto"/>
          </w:divBdr>
        </w:div>
        <w:div w:id="1819573636">
          <w:marLeft w:val="0"/>
          <w:marRight w:val="0"/>
          <w:marTop w:val="0"/>
          <w:marBottom w:val="0"/>
          <w:divBdr>
            <w:top w:val="none" w:sz="0" w:space="0" w:color="auto"/>
            <w:left w:val="none" w:sz="0" w:space="0" w:color="auto"/>
            <w:bottom w:val="none" w:sz="0" w:space="0" w:color="auto"/>
            <w:right w:val="none" w:sz="0" w:space="0" w:color="auto"/>
          </w:divBdr>
        </w:div>
        <w:div w:id="1383018549">
          <w:marLeft w:val="0"/>
          <w:marRight w:val="0"/>
          <w:marTop w:val="0"/>
          <w:marBottom w:val="0"/>
          <w:divBdr>
            <w:top w:val="none" w:sz="0" w:space="0" w:color="auto"/>
            <w:left w:val="none" w:sz="0" w:space="0" w:color="auto"/>
            <w:bottom w:val="none" w:sz="0" w:space="0" w:color="auto"/>
            <w:right w:val="none" w:sz="0" w:space="0" w:color="auto"/>
          </w:divBdr>
        </w:div>
        <w:div w:id="2109735460">
          <w:marLeft w:val="0"/>
          <w:marRight w:val="0"/>
          <w:marTop w:val="0"/>
          <w:marBottom w:val="0"/>
          <w:divBdr>
            <w:top w:val="none" w:sz="0" w:space="0" w:color="auto"/>
            <w:left w:val="none" w:sz="0" w:space="0" w:color="auto"/>
            <w:bottom w:val="none" w:sz="0" w:space="0" w:color="auto"/>
            <w:right w:val="none" w:sz="0" w:space="0" w:color="auto"/>
          </w:divBdr>
        </w:div>
        <w:div w:id="868883432">
          <w:marLeft w:val="0"/>
          <w:marRight w:val="0"/>
          <w:marTop w:val="0"/>
          <w:marBottom w:val="0"/>
          <w:divBdr>
            <w:top w:val="none" w:sz="0" w:space="0" w:color="auto"/>
            <w:left w:val="none" w:sz="0" w:space="0" w:color="auto"/>
            <w:bottom w:val="none" w:sz="0" w:space="0" w:color="auto"/>
            <w:right w:val="none" w:sz="0" w:space="0" w:color="auto"/>
          </w:divBdr>
        </w:div>
        <w:div w:id="482893631">
          <w:marLeft w:val="0"/>
          <w:marRight w:val="0"/>
          <w:marTop w:val="0"/>
          <w:marBottom w:val="0"/>
          <w:divBdr>
            <w:top w:val="none" w:sz="0" w:space="0" w:color="auto"/>
            <w:left w:val="none" w:sz="0" w:space="0" w:color="auto"/>
            <w:bottom w:val="none" w:sz="0" w:space="0" w:color="auto"/>
            <w:right w:val="none" w:sz="0" w:space="0" w:color="auto"/>
          </w:divBdr>
        </w:div>
      </w:divsChild>
    </w:div>
    <w:div w:id="1270697847">
      <w:bodyDiv w:val="1"/>
      <w:marLeft w:val="0"/>
      <w:marRight w:val="0"/>
      <w:marTop w:val="0"/>
      <w:marBottom w:val="0"/>
      <w:divBdr>
        <w:top w:val="none" w:sz="0" w:space="0" w:color="auto"/>
        <w:left w:val="none" w:sz="0" w:space="0" w:color="auto"/>
        <w:bottom w:val="none" w:sz="0" w:space="0" w:color="auto"/>
        <w:right w:val="none" w:sz="0" w:space="0" w:color="auto"/>
      </w:divBdr>
      <w:divsChild>
        <w:div w:id="2116049486">
          <w:marLeft w:val="0"/>
          <w:marRight w:val="0"/>
          <w:marTop w:val="0"/>
          <w:marBottom w:val="0"/>
          <w:divBdr>
            <w:top w:val="none" w:sz="0" w:space="0" w:color="auto"/>
            <w:left w:val="none" w:sz="0" w:space="0" w:color="auto"/>
            <w:bottom w:val="none" w:sz="0" w:space="0" w:color="auto"/>
            <w:right w:val="none" w:sz="0" w:space="0" w:color="auto"/>
          </w:divBdr>
        </w:div>
        <w:div w:id="1940091833">
          <w:marLeft w:val="0"/>
          <w:marRight w:val="0"/>
          <w:marTop w:val="0"/>
          <w:marBottom w:val="0"/>
          <w:divBdr>
            <w:top w:val="none" w:sz="0" w:space="0" w:color="auto"/>
            <w:left w:val="none" w:sz="0" w:space="0" w:color="auto"/>
            <w:bottom w:val="none" w:sz="0" w:space="0" w:color="auto"/>
            <w:right w:val="none" w:sz="0" w:space="0" w:color="auto"/>
          </w:divBdr>
        </w:div>
        <w:div w:id="976568347">
          <w:marLeft w:val="0"/>
          <w:marRight w:val="0"/>
          <w:marTop w:val="0"/>
          <w:marBottom w:val="0"/>
          <w:divBdr>
            <w:top w:val="none" w:sz="0" w:space="0" w:color="auto"/>
            <w:left w:val="none" w:sz="0" w:space="0" w:color="auto"/>
            <w:bottom w:val="none" w:sz="0" w:space="0" w:color="auto"/>
            <w:right w:val="none" w:sz="0" w:space="0" w:color="auto"/>
          </w:divBdr>
        </w:div>
        <w:div w:id="1424185498">
          <w:marLeft w:val="0"/>
          <w:marRight w:val="0"/>
          <w:marTop w:val="0"/>
          <w:marBottom w:val="0"/>
          <w:divBdr>
            <w:top w:val="none" w:sz="0" w:space="0" w:color="auto"/>
            <w:left w:val="none" w:sz="0" w:space="0" w:color="auto"/>
            <w:bottom w:val="none" w:sz="0" w:space="0" w:color="auto"/>
            <w:right w:val="none" w:sz="0" w:space="0" w:color="auto"/>
          </w:divBdr>
        </w:div>
        <w:div w:id="753282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multimedia.com/business/Adoption-of-environmetal-goods-list-top-deal-at-Ap-30190151.html" TargetMode="External"/><Relationship Id="rId13" Type="http://schemas.openxmlformats.org/officeDocument/2006/relationships/hyperlink" Target="http://www.ohchr.org/EN/PublicationsResources/Pages/ReferenceMaterial.aspx" TargetMode="External"/><Relationship Id="rId18" Type="http://schemas.openxmlformats.org/officeDocument/2006/relationships/hyperlink" Target="http://www.corporateregister.com/news/item/?n=157" TargetMode="External"/><Relationship Id="rId3" Type="http://schemas.microsoft.com/office/2007/relationships/stylesWithEffects" Target="stylesWithEffects.xml"/><Relationship Id="rId7" Type="http://schemas.openxmlformats.org/officeDocument/2006/relationships/hyperlink" Target="http://www.emarsys.net/custloads/125736536/md_492835.pdf" TargetMode="External"/><Relationship Id="rId12" Type="http://schemas.openxmlformats.org/officeDocument/2006/relationships/hyperlink" Target="http://www.equator-principles.com/index.php/ep3" TargetMode="External"/><Relationship Id="rId17" Type="http://schemas.openxmlformats.org/officeDocument/2006/relationships/hyperlink" Target="http://csr-reporting.blogspot.tw/2012/07/gri-g4-exposure-draft-explained.html" TargetMode="External"/><Relationship Id="rId2" Type="http://schemas.openxmlformats.org/officeDocument/2006/relationships/styles" Target="styles.xml"/><Relationship Id="rId16" Type="http://schemas.openxmlformats.org/officeDocument/2006/relationships/hyperlink" Target="http://www.syntao.com/E_Page_Show.asp?Page_ID=1540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nvironmentalleader.com/2012/09/25/wwf-publishes-guide-to-responsible-commodities-investing/" TargetMode="External"/><Relationship Id="rId11" Type="http://schemas.openxmlformats.org/officeDocument/2006/relationships/hyperlink" Target="http://www.asria.org/news/press/1344941368" TargetMode="External"/><Relationship Id="rId5" Type="http://schemas.openxmlformats.org/officeDocument/2006/relationships/webSettings" Target="webSettings.xml"/><Relationship Id="rId15" Type="http://schemas.openxmlformats.org/officeDocument/2006/relationships/hyperlink" Target="http://www.socialfunds.com/news/article.cgi/3589.html" TargetMode="External"/><Relationship Id="rId10" Type="http://schemas.openxmlformats.org/officeDocument/2006/relationships/hyperlink" Target="http://www.csreurope.org/news.php?type=&amp;action=show_news&amp;news_id=506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srwire.com/press_releases/34540-The-Supplier-Self-Assessment-Questionnaire-SAQ-Ceres-Launches-New-Tool-for-Strengthening-Supply-Chains" TargetMode="External"/><Relationship Id="rId14" Type="http://schemas.openxmlformats.org/officeDocument/2006/relationships/hyperlink" Target="http://www.equator-principles.com/index.php/EP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611</TotalTime>
  <Pages>9</Pages>
  <Words>1565</Words>
  <Characters>8925</Characters>
  <Application>Microsoft Office Word</Application>
  <DocSecurity>0</DocSecurity>
  <Lines>74</Lines>
  <Paragraphs>20</Paragraphs>
  <ScaleCrop>false</ScaleCrop>
  <Company/>
  <LinksUpToDate>false</LinksUpToDate>
  <CharactersWithSpaces>10470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Mo</dc:creator>
  <cp:lastModifiedBy>Tony Mo</cp:lastModifiedBy>
  <cp:revision>30</cp:revision>
  <dcterms:created xsi:type="dcterms:W3CDTF">2012-10-22T01:14:00Z</dcterms:created>
  <dcterms:modified xsi:type="dcterms:W3CDTF">2012-10-23T08:45:00Z</dcterms:modified>
</cp:coreProperties>
</file>