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63" w:rsidRPr="006D5E6D" w:rsidRDefault="006D5E6D" w:rsidP="006D5E6D">
      <w:pPr>
        <w:snapToGrid w:val="0"/>
        <w:spacing w:beforeLines="50" w:before="180"/>
        <w:rPr>
          <w:rFonts w:ascii="Times New Roman" w:eastAsia="標楷體" w:hAnsi="Times New Roman" w:cs="Times New Roman"/>
          <w:b/>
        </w:rPr>
      </w:pPr>
      <w:r>
        <w:rPr>
          <w:rFonts w:ascii="Times New Roman" w:eastAsia="標楷體" w:hAnsi="Times New Roman" w:cs="Times New Roman" w:hint="eastAsia"/>
          <w:b/>
          <w:sz w:val="28"/>
        </w:rPr>
        <w:t>1.</w:t>
      </w:r>
      <w:r w:rsidR="00987063" w:rsidRPr="006D5E6D">
        <w:rPr>
          <w:rFonts w:ascii="Times New Roman" w:eastAsia="標楷體" w:hAnsi="Times New Roman" w:cs="Times New Roman"/>
          <w:b/>
          <w:sz w:val="28"/>
        </w:rPr>
        <w:t>153</w:t>
      </w:r>
      <w:r w:rsidR="00987063" w:rsidRPr="006D5E6D">
        <w:rPr>
          <w:rFonts w:ascii="Times New Roman" w:eastAsia="標楷體" w:hAnsi="Times New Roman" w:cs="Times New Roman"/>
          <w:b/>
          <w:sz w:val="28"/>
        </w:rPr>
        <w:t>家公司公布最新的低碳行動計畫</w:t>
      </w:r>
      <w:r w:rsidR="00987063" w:rsidRPr="006D5E6D">
        <w:rPr>
          <w:rFonts w:ascii="Times New Roman" w:eastAsia="標楷體" w:hAnsi="Times New Roman" w:cs="Times New Roman"/>
          <w:b/>
        </w:rPr>
        <w:t xml:space="preserve"> (edie.net</w:t>
      </w:r>
      <w:r w:rsidR="00987063" w:rsidRPr="006D5E6D">
        <w:rPr>
          <w:rFonts w:ascii="Times New Roman" w:eastAsia="標楷體" w:hAnsi="Times New Roman" w:cs="Times New Roman"/>
          <w:b/>
        </w:rPr>
        <w:t>，</w:t>
      </w:r>
      <w:r w:rsidR="00987063" w:rsidRPr="006D5E6D">
        <w:rPr>
          <w:rFonts w:ascii="Times New Roman" w:eastAsia="標楷體" w:hAnsi="Times New Roman" w:cs="Times New Roman"/>
          <w:b/>
        </w:rPr>
        <w:t>2015/12/07)</w:t>
      </w:r>
    </w:p>
    <w:p w:rsidR="00987063" w:rsidRPr="00987063" w:rsidRDefault="006D5E6D" w:rsidP="00987063">
      <w:pPr>
        <w:snapToGrid w:val="0"/>
        <w:spacing w:beforeLines="50" w:before="180"/>
        <w:rPr>
          <w:rFonts w:ascii="Times New Roman" w:eastAsia="標楷體" w:hAnsi="Times New Roman" w:cs="Times New Roman"/>
        </w:rPr>
      </w:pPr>
      <w:hyperlink r:id="rId9" w:history="1">
        <w:r w:rsidR="00987063" w:rsidRPr="00987063">
          <w:rPr>
            <w:rStyle w:val="a8"/>
            <w:rFonts w:ascii="Times New Roman" w:eastAsia="標楷體" w:hAnsi="Times New Roman" w:cs="Times New Roman"/>
          </w:rPr>
          <w:t>http://www.edie.net/news/6/153-corporations-unveil-new-low-carbon-action-plans/29443/</w:t>
        </w:r>
      </w:hyperlink>
    </w:p>
    <w:p w:rsidR="00987063" w:rsidRPr="00987063" w:rsidRDefault="00987063"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超過</w:t>
      </w:r>
      <w:r w:rsidRPr="00987063">
        <w:rPr>
          <w:rFonts w:ascii="Times New Roman" w:eastAsia="標楷體" w:hAnsi="Times New Roman" w:cs="Times New Roman"/>
        </w:rPr>
        <w:t>150</w:t>
      </w:r>
      <w:r w:rsidRPr="00987063">
        <w:rPr>
          <w:rFonts w:ascii="Times New Roman" w:eastAsia="標楷體" w:hAnsi="Times New Roman" w:cs="Times New Roman"/>
        </w:rPr>
        <w:t>家企業紛紛提出低碳計畫，說明他們可以提交全球暖化所限制</w:t>
      </w:r>
      <w:r w:rsidRPr="00987063">
        <w:rPr>
          <w:rFonts w:ascii="Times New Roman" w:eastAsia="標楷體" w:hAnsi="Times New Roman" w:cs="Times New Roman"/>
        </w:rPr>
        <w:t>2</w:t>
      </w:r>
      <w:r w:rsidRPr="00987063">
        <w:rPr>
          <w:rFonts w:ascii="Times New Roman" w:eastAsia="標楷體" w:hAnsi="Times New Roman" w:cs="Times New Roman"/>
        </w:rPr>
        <w:t>度</w:t>
      </w:r>
      <w:r w:rsidRPr="00987063">
        <w:rPr>
          <w:rFonts w:ascii="Times New Roman" w:eastAsia="標楷體" w:hAnsi="Times New Roman" w:cs="Times New Roman"/>
        </w:rPr>
        <w:t>C</w:t>
      </w:r>
      <w:r w:rsidRPr="00987063">
        <w:rPr>
          <w:rFonts w:ascii="Times New Roman" w:eastAsia="標楷體" w:hAnsi="Times New Roman" w:cs="Times New Roman"/>
        </w:rPr>
        <w:t>升溫</w:t>
      </w:r>
      <w:proofErr w:type="gramStart"/>
      <w:r w:rsidRPr="00987063">
        <w:rPr>
          <w:rFonts w:ascii="Times New Roman" w:eastAsia="標楷體" w:hAnsi="Times New Roman" w:cs="Times New Roman"/>
        </w:rPr>
        <w:t>所需碳排放</w:t>
      </w:r>
      <w:proofErr w:type="gramEnd"/>
      <w:r w:rsidRPr="00987063">
        <w:rPr>
          <w:rFonts w:ascii="Times New Roman" w:eastAsia="標楷體" w:hAnsi="Times New Roman" w:cs="Times New Roman"/>
        </w:rPr>
        <w:t>減量</w:t>
      </w:r>
      <w:r w:rsidRPr="00987063">
        <w:rPr>
          <w:rFonts w:ascii="Times New Roman" w:eastAsia="標楷體" w:hAnsi="Times New Roman" w:cs="Times New Roman"/>
        </w:rPr>
        <w:t>65%</w:t>
      </w:r>
      <w:r w:rsidRPr="00987063">
        <w:rPr>
          <w:rFonts w:ascii="Times New Roman" w:eastAsia="標楷體" w:hAnsi="Times New Roman" w:cs="Times New Roman"/>
        </w:rPr>
        <w:t>的行動。該計畫為世界企業永續發展協會</w:t>
      </w:r>
      <w:r w:rsidRPr="00987063">
        <w:rPr>
          <w:rFonts w:ascii="Times New Roman" w:eastAsia="標楷體" w:hAnsi="Times New Roman" w:cs="Times New Roman"/>
        </w:rPr>
        <w:t>(WBCSD)</w:t>
      </w:r>
      <w:r w:rsidRPr="00987063">
        <w:rPr>
          <w:rFonts w:ascii="Times New Roman" w:eastAsia="標楷體" w:hAnsi="Times New Roman" w:cs="Times New Roman"/>
        </w:rPr>
        <w:t>之低碳技術夥伴倡議</w:t>
      </w:r>
      <w:r w:rsidRPr="00987063">
        <w:rPr>
          <w:rFonts w:ascii="Times New Roman" w:eastAsia="標楷體" w:hAnsi="Times New Roman" w:cs="Times New Roman"/>
        </w:rPr>
        <w:t>(</w:t>
      </w:r>
      <w:proofErr w:type="spellStart"/>
      <w:r w:rsidRPr="00987063">
        <w:rPr>
          <w:rFonts w:ascii="Times New Roman" w:eastAsia="標楷體" w:hAnsi="Times New Roman" w:cs="Times New Roman"/>
        </w:rPr>
        <w:t>LCTPi</w:t>
      </w:r>
      <w:proofErr w:type="spellEnd"/>
      <w:r w:rsidRPr="00987063">
        <w:rPr>
          <w:rFonts w:ascii="Times New Roman" w:eastAsia="標楷體" w:hAnsi="Times New Roman" w:cs="Times New Roman"/>
        </w:rPr>
        <w:t>)</w:t>
      </w:r>
      <w:r w:rsidRPr="00987063">
        <w:rPr>
          <w:rFonts w:ascii="Times New Roman" w:eastAsia="標楷體" w:hAnsi="Times New Roman" w:cs="Times New Roman"/>
        </w:rPr>
        <w:t>的一部分。</w:t>
      </w:r>
    </w:p>
    <w:p w:rsidR="00987063" w:rsidRPr="00987063" w:rsidRDefault="00987063"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該倡議已經看到</w:t>
      </w:r>
      <w:r w:rsidRPr="00987063">
        <w:rPr>
          <w:rFonts w:ascii="Times New Roman" w:eastAsia="標楷體" w:hAnsi="Times New Roman" w:cs="Times New Roman"/>
        </w:rPr>
        <w:t>153</w:t>
      </w:r>
      <w:r w:rsidRPr="00987063">
        <w:rPr>
          <w:rFonts w:ascii="Times New Roman" w:eastAsia="標楷體" w:hAnsi="Times New Roman" w:cs="Times New Roman"/>
        </w:rPr>
        <w:t>家企業，包括聯合利華</w:t>
      </w:r>
      <w:r w:rsidRPr="00987063">
        <w:rPr>
          <w:rFonts w:ascii="Times New Roman" w:eastAsia="標楷體" w:hAnsi="Times New Roman" w:cs="Times New Roman"/>
        </w:rPr>
        <w:t>(Unilever)</w:t>
      </w:r>
      <w:r w:rsidRPr="00987063">
        <w:rPr>
          <w:rFonts w:ascii="Times New Roman" w:eastAsia="標楷體" w:hAnsi="Times New Roman" w:cs="Times New Roman"/>
        </w:rPr>
        <w:t>、宜家</w:t>
      </w:r>
      <w:r w:rsidRPr="00987063">
        <w:rPr>
          <w:rFonts w:ascii="Times New Roman" w:eastAsia="標楷體" w:hAnsi="Times New Roman" w:cs="Times New Roman"/>
        </w:rPr>
        <w:t>(Ikea)</w:t>
      </w:r>
      <w:r w:rsidRPr="00987063">
        <w:rPr>
          <w:rFonts w:ascii="Times New Roman" w:eastAsia="標楷體" w:hAnsi="Times New Roman" w:cs="Times New Roman"/>
        </w:rPr>
        <w:t>、</w:t>
      </w:r>
      <w:r w:rsidRPr="00987063">
        <w:rPr>
          <w:rFonts w:ascii="Times New Roman" w:eastAsia="標楷體" w:hAnsi="Times New Roman" w:cs="Times New Roman"/>
        </w:rPr>
        <w:t>BP</w:t>
      </w:r>
      <w:r w:rsidRPr="00987063">
        <w:rPr>
          <w:rFonts w:ascii="Times New Roman" w:eastAsia="標楷體" w:hAnsi="Times New Roman" w:cs="Times New Roman"/>
        </w:rPr>
        <w:t>、福特、</w:t>
      </w:r>
      <w:proofErr w:type="gramStart"/>
      <w:r w:rsidRPr="00987063">
        <w:rPr>
          <w:rFonts w:ascii="Times New Roman" w:eastAsia="標楷體" w:hAnsi="Times New Roman" w:cs="Times New Roman"/>
        </w:rPr>
        <w:t>喜力和</w:t>
      </w:r>
      <w:proofErr w:type="gramEnd"/>
      <w:r w:rsidRPr="00987063">
        <w:rPr>
          <w:rFonts w:ascii="Times New Roman" w:eastAsia="標楷體" w:hAnsi="Times New Roman" w:cs="Times New Roman"/>
        </w:rPr>
        <w:t>雀巢，在過去一年召開一系列圓桌會議的共同努力下，制定</w:t>
      </w:r>
      <w:r w:rsidRPr="00987063">
        <w:rPr>
          <w:rFonts w:ascii="Times New Roman" w:eastAsia="標楷體" w:hAnsi="Times New Roman" w:cs="Times New Roman"/>
        </w:rPr>
        <w:t>9</w:t>
      </w:r>
      <w:r w:rsidRPr="00987063">
        <w:rPr>
          <w:rFonts w:ascii="Times New Roman" w:eastAsia="標楷體" w:hAnsi="Times New Roman" w:cs="Times New Roman"/>
        </w:rPr>
        <w:t>個行業特定的低碳計畫。</w:t>
      </w:r>
    </w:p>
    <w:p w:rsidR="00987063" w:rsidRPr="00987063" w:rsidRDefault="00987063"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在巴黎</w:t>
      </w:r>
      <w:r w:rsidRPr="00987063">
        <w:rPr>
          <w:rFonts w:ascii="Times New Roman" w:eastAsia="標楷體" w:hAnsi="Times New Roman" w:cs="Times New Roman"/>
        </w:rPr>
        <w:t>12</w:t>
      </w:r>
      <w:r w:rsidRPr="00987063">
        <w:rPr>
          <w:rFonts w:ascii="Times New Roman" w:eastAsia="標楷體" w:hAnsi="Times New Roman" w:cs="Times New Roman"/>
        </w:rPr>
        <w:t>月</w:t>
      </w:r>
      <w:r w:rsidRPr="00987063">
        <w:rPr>
          <w:rFonts w:ascii="Times New Roman" w:eastAsia="標楷體" w:hAnsi="Times New Roman" w:cs="Times New Roman"/>
        </w:rPr>
        <w:t>7</w:t>
      </w:r>
      <w:r w:rsidRPr="00987063">
        <w:rPr>
          <w:rFonts w:ascii="Times New Roman" w:eastAsia="標楷體" w:hAnsi="Times New Roman" w:cs="Times New Roman"/>
        </w:rPr>
        <w:t>日召開的會議，介紹了</w:t>
      </w:r>
      <w:proofErr w:type="spellStart"/>
      <w:r w:rsidRPr="00987063">
        <w:rPr>
          <w:rFonts w:ascii="Times New Roman" w:eastAsia="標楷體" w:hAnsi="Times New Roman" w:cs="Times New Roman"/>
        </w:rPr>
        <w:t>LCTPi</w:t>
      </w:r>
      <w:proofErr w:type="spellEnd"/>
      <w:r w:rsidRPr="00987063">
        <w:rPr>
          <w:rFonts w:ascii="Times New Roman" w:eastAsia="標楷體" w:hAnsi="Times New Roman" w:cs="Times New Roman"/>
        </w:rPr>
        <w:t>的</w:t>
      </w:r>
      <w:r w:rsidRPr="00987063">
        <w:rPr>
          <w:rFonts w:ascii="Times New Roman" w:eastAsia="標楷體" w:hAnsi="Times New Roman" w:cs="Times New Roman"/>
        </w:rPr>
        <w:t>9</w:t>
      </w:r>
      <w:r w:rsidRPr="00987063">
        <w:rPr>
          <w:rFonts w:ascii="Times New Roman" w:eastAsia="標楷體" w:hAnsi="Times New Roman" w:cs="Times New Roman"/>
        </w:rPr>
        <w:t>項行動計畫，主題為「現在我們能做什麼</w:t>
      </w:r>
      <w:r w:rsidRPr="00987063">
        <w:rPr>
          <w:rFonts w:ascii="Times New Roman" w:eastAsia="標楷體" w:hAnsi="Times New Roman" w:cs="Times New Roman"/>
        </w:rPr>
        <w:t>?</w:t>
      </w:r>
      <w:r w:rsidRPr="00987063">
        <w:rPr>
          <w:rFonts w:ascii="Times New Roman" w:eastAsia="標楷體" w:hAnsi="Times New Roman" w:cs="Times New Roman"/>
        </w:rPr>
        <w:t>」。他們也提出了政策建議和公私合作夥伴關係以強化低碳行動的商業案例。</w:t>
      </w:r>
    </w:p>
    <w:p w:rsidR="00987063" w:rsidRPr="00987063" w:rsidRDefault="00987063"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例如，世界前</w:t>
      </w:r>
      <w:r w:rsidRPr="00987063">
        <w:rPr>
          <w:rFonts w:ascii="Times New Roman" w:eastAsia="標楷體" w:hAnsi="Times New Roman" w:cs="Times New Roman"/>
        </w:rPr>
        <w:t>16</w:t>
      </w:r>
      <w:r w:rsidRPr="00987063">
        <w:rPr>
          <w:rFonts w:ascii="Times New Roman" w:eastAsia="標楷體" w:hAnsi="Times New Roman" w:cs="Times New Roman"/>
        </w:rPr>
        <w:t>大的能源公司訂定一個計畫於</w:t>
      </w:r>
      <w:r w:rsidRPr="00987063">
        <w:rPr>
          <w:rFonts w:ascii="Times New Roman" w:eastAsia="標楷體" w:hAnsi="Times New Roman" w:cs="Times New Roman"/>
        </w:rPr>
        <w:t>2025</w:t>
      </w:r>
      <w:r w:rsidRPr="00987063">
        <w:rPr>
          <w:rFonts w:ascii="Times New Roman" w:eastAsia="標楷體" w:hAnsi="Times New Roman" w:cs="Times New Roman"/>
        </w:rPr>
        <w:t>年時，將再生能源產能提升將近</w:t>
      </w:r>
      <w:r w:rsidRPr="00987063">
        <w:rPr>
          <w:rFonts w:ascii="Times New Roman" w:eastAsia="標楷體" w:hAnsi="Times New Roman" w:cs="Times New Roman"/>
        </w:rPr>
        <w:t>1</w:t>
      </w:r>
      <w:r w:rsidRPr="00987063">
        <w:rPr>
          <w:rFonts w:ascii="Times New Roman" w:eastAsia="標楷體" w:hAnsi="Times New Roman" w:cs="Times New Roman"/>
        </w:rPr>
        <w:t>倍。</w:t>
      </w:r>
    </w:p>
    <w:p w:rsidR="00987063" w:rsidRPr="00987063" w:rsidRDefault="00987063" w:rsidP="00987063">
      <w:pPr>
        <w:snapToGrid w:val="0"/>
        <w:spacing w:beforeLines="50" w:before="180"/>
        <w:rPr>
          <w:rFonts w:ascii="Times New Roman" w:eastAsia="標楷體" w:hAnsi="Times New Roman" w:cs="Times New Roman"/>
        </w:rPr>
      </w:pPr>
    </w:p>
    <w:p w:rsidR="00987063" w:rsidRPr="00987063" w:rsidRDefault="00987063" w:rsidP="00987063">
      <w:pPr>
        <w:snapToGrid w:val="0"/>
        <w:spacing w:beforeLines="50" w:before="180"/>
        <w:rPr>
          <w:rFonts w:ascii="Times New Roman" w:eastAsia="標楷體" w:hAnsi="Times New Roman" w:cs="Times New Roman"/>
          <w:b/>
        </w:rPr>
      </w:pPr>
      <w:r w:rsidRPr="00987063">
        <w:rPr>
          <w:rFonts w:ascii="Times New Roman" w:eastAsia="標楷體" w:hAnsi="Times New Roman" w:cs="Times New Roman"/>
          <w:b/>
        </w:rPr>
        <w:t>擴大</w:t>
      </w:r>
    </w:p>
    <w:p w:rsidR="00987063" w:rsidRPr="00987063" w:rsidRDefault="00987063"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最近由資誠</w:t>
      </w:r>
      <w:r w:rsidRPr="00987063">
        <w:rPr>
          <w:rFonts w:ascii="Times New Roman" w:eastAsia="標楷體" w:hAnsi="Times New Roman" w:cs="Times New Roman"/>
        </w:rPr>
        <w:t>(PwC)</w:t>
      </w:r>
      <w:r w:rsidRPr="00987063">
        <w:rPr>
          <w:rFonts w:ascii="Times New Roman" w:eastAsia="標楷體" w:hAnsi="Times New Roman" w:cs="Times New Roman"/>
        </w:rPr>
        <w:t>最新分析顯示，如果要達成目標，建議</w:t>
      </w:r>
      <w:proofErr w:type="spellStart"/>
      <w:r w:rsidRPr="00987063">
        <w:rPr>
          <w:rFonts w:ascii="Times New Roman" w:eastAsia="標楷體" w:hAnsi="Times New Roman" w:cs="Times New Roman"/>
        </w:rPr>
        <w:t>LCTPi</w:t>
      </w:r>
      <w:proofErr w:type="spellEnd"/>
      <w:r w:rsidRPr="00987063">
        <w:rPr>
          <w:rFonts w:ascii="Times New Roman" w:eastAsia="標楷體" w:hAnsi="Times New Roman" w:cs="Times New Roman"/>
        </w:rPr>
        <w:t>要能達到碳排放減量</w:t>
      </w:r>
      <w:r w:rsidRPr="00987063">
        <w:rPr>
          <w:rFonts w:ascii="Times New Roman" w:eastAsia="標楷體" w:hAnsi="Times New Roman" w:cs="Times New Roman"/>
        </w:rPr>
        <w:t>65%</w:t>
      </w:r>
      <w:r w:rsidRPr="00987063">
        <w:rPr>
          <w:rFonts w:ascii="Times New Roman" w:eastAsia="標楷體" w:hAnsi="Times New Roman" w:cs="Times New Roman"/>
        </w:rPr>
        <w:t>以維持</w:t>
      </w:r>
      <w:r w:rsidRPr="00987063">
        <w:rPr>
          <w:rFonts w:ascii="Times New Roman" w:eastAsia="標楷體" w:hAnsi="Times New Roman" w:cs="Times New Roman"/>
        </w:rPr>
        <w:t>2</w:t>
      </w:r>
      <w:r w:rsidRPr="00987063">
        <w:rPr>
          <w:rFonts w:ascii="Times New Roman" w:eastAsia="標楷體" w:hAnsi="Times New Roman" w:cs="Times New Roman"/>
        </w:rPr>
        <w:t>度</w:t>
      </w:r>
      <w:r w:rsidRPr="00987063">
        <w:rPr>
          <w:rFonts w:ascii="Times New Roman" w:eastAsia="標楷體" w:hAnsi="Times New Roman" w:cs="Times New Roman"/>
        </w:rPr>
        <w:t>C</w:t>
      </w:r>
      <w:r w:rsidRPr="00987063">
        <w:rPr>
          <w:rFonts w:ascii="Times New Roman" w:eastAsia="標楷體" w:hAnsi="Times New Roman" w:cs="Times New Roman"/>
        </w:rPr>
        <w:t>的限值、引導</w:t>
      </w:r>
      <w:r w:rsidRPr="00987063">
        <w:rPr>
          <w:rFonts w:ascii="Times New Roman" w:eastAsia="標楷體" w:hAnsi="Times New Roman" w:cs="Times New Roman"/>
        </w:rPr>
        <w:t>$5-10</w:t>
      </w:r>
      <w:r w:rsidRPr="00987063">
        <w:rPr>
          <w:rFonts w:ascii="Times New Roman" w:eastAsia="標楷體" w:hAnsi="Times New Roman" w:cs="Times New Roman"/>
        </w:rPr>
        <w:t>兆美元的投資進入低碳行業，並在全球創造</w:t>
      </w:r>
      <w:r w:rsidRPr="00987063">
        <w:rPr>
          <w:rFonts w:ascii="Times New Roman" w:eastAsia="標楷體" w:hAnsi="Times New Roman" w:cs="Times New Roman"/>
        </w:rPr>
        <w:t>20-45</w:t>
      </w:r>
      <w:r w:rsidRPr="00987063">
        <w:rPr>
          <w:rFonts w:ascii="Times New Roman" w:eastAsia="標楷體" w:hAnsi="Times New Roman" w:cs="Times New Roman"/>
        </w:rPr>
        <w:t>萬個相關的工作崗位。</w:t>
      </w:r>
    </w:p>
    <w:p w:rsidR="00987063" w:rsidRPr="00987063" w:rsidRDefault="00987063"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WBCSD</w:t>
      </w:r>
      <w:r w:rsidRPr="00987063">
        <w:rPr>
          <w:rFonts w:ascii="Times New Roman" w:eastAsia="標楷體" w:hAnsi="Times New Roman" w:cs="Times New Roman"/>
        </w:rPr>
        <w:t>的總裁兼執行長</w:t>
      </w:r>
      <w:r w:rsidRPr="00987063">
        <w:rPr>
          <w:rFonts w:ascii="Times New Roman" w:eastAsia="標楷體" w:hAnsi="Times New Roman" w:cs="Times New Roman"/>
        </w:rPr>
        <w:t>Peter Bakker</w:t>
      </w:r>
      <w:r w:rsidRPr="00987063">
        <w:rPr>
          <w:rFonts w:ascii="Times New Roman" w:eastAsia="標楷體" w:hAnsi="Times New Roman" w:cs="Times New Roman"/>
        </w:rPr>
        <w:t>說：「迎接氣候變遷的挑戰需要領導力、行動力和前所未有的合作力。</w:t>
      </w:r>
      <w:proofErr w:type="spellStart"/>
      <w:r w:rsidRPr="00987063">
        <w:rPr>
          <w:rFonts w:ascii="Times New Roman" w:eastAsia="標楷體" w:hAnsi="Times New Roman" w:cs="Times New Roman"/>
        </w:rPr>
        <w:t>LCTPi</w:t>
      </w:r>
      <w:proofErr w:type="spellEnd"/>
      <w:r w:rsidRPr="00987063">
        <w:rPr>
          <w:rFonts w:ascii="Times New Roman" w:eastAsia="標楷體" w:hAnsi="Times New Roman" w:cs="Times New Roman"/>
        </w:rPr>
        <w:t>的組成有三個元素，和企業表態支持政府，以及我們需要透過提交創新的解決方案來邁向低碳世界。」</w:t>
      </w:r>
    </w:p>
    <w:p w:rsidR="00987063" w:rsidRPr="00987063" w:rsidRDefault="00987063"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「現在是時候開始擴大。無論是企業還是政府不再以單方面來解決氣候變遷所面臨的挑戰。我們必須共同努力</w:t>
      </w:r>
      <w:r w:rsidRPr="00987063">
        <w:rPr>
          <w:rFonts w:ascii="Times New Roman" w:eastAsia="標楷體" w:hAnsi="Times New Roman" w:cs="Times New Roman"/>
        </w:rPr>
        <w:t xml:space="preserve"> </w:t>
      </w:r>
      <w:proofErr w:type="gramStart"/>
      <w:r w:rsidRPr="00987063">
        <w:rPr>
          <w:rFonts w:ascii="Times New Roman" w:eastAsia="標楷體" w:hAnsi="Times New Roman" w:cs="Times New Roman"/>
        </w:rPr>
        <w:t>–</w:t>
      </w:r>
      <w:proofErr w:type="gramEnd"/>
      <w:r w:rsidRPr="00987063">
        <w:rPr>
          <w:rFonts w:ascii="Times New Roman" w:eastAsia="標楷體" w:hAnsi="Times New Roman" w:cs="Times New Roman"/>
        </w:rPr>
        <w:t xml:space="preserve"> </w:t>
      </w:r>
      <w:r w:rsidRPr="00987063">
        <w:rPr>
          <w:rFonts w:ascii="Times New Roman" w:eastAsia="標楷體" w:hAnsi="Times New Roman" w:cs="Times New Roman"/>
        </w:rPr>
        <w:t>跨行業、跨國家、跨邊界和界限，以開始推動目前迫切需要的相關進展」</w:t>
      </w:r>
    </w:p>
    <w:p w:rsidR="00987063" w:rsidRPr="00987063" w:rsidRDefault="00987063" w:rsidP="00987063">
      <w:pPr>
        <w:snapToGrid w:val="0"/>
        <w:spacing w:beforeLines="50" w:before="180"/>
        <w:rPr>
          <w:rFonts w:ascii="Times New Roman" w:eastAsia="標楷體" w:hAnsi="Times New Roman" w:cs="Times New Roman"/>
        </w:rPr>
      </w:pPr>
    </w:p>
    <w:p w:rsidR="00987063" w:rsidRPr="00987063" w:rsidRDefault="00987063" w:rsidP="00987063">
      <w:pPr>
        <w:snapToGrid w:val="0"/>
        <w:spacing w:beforeLines="50" w:before="180"/>
        <w:rPr>
          <w:rFonts w:ascii="Times New Roman" w:eastAsia="標楷體" w:hAnsi="Times New Roman" w:cs="Times New Roman"/>
          <w:b/>
        </w:rPr>
      </w:pPr>
      <w:r w:rsidRPr="00987063">
        <w:rPr>
          <w:rFonts w:ascii="Times New Roman" w:eastAsia="標楷體" w:hAnsi="Times New Roman" w:cs="Times New Roman"/>
          <w:b/>
        </w:rPr>
        <w:t>再生能源的革命</w:t>
      </w:r>
    </w:p>
    <w:p w:rsidR="00987063" w:rsidRPr="00987063" w:rsidRDefault="00987063"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本次在巴黎所提出的倡議，</w:t>
      </w:r>
      <w:r w:rsidRPr="00987063">
        <w:rPr>
          <w:rFonts w:ascii="Times New Roman" w:eastAsia="標楷體" w:hAnsi="Times New Roman" w:cs="Times New Roman"/>
        </w:rPr>
        <w:t>Bakker</w:t>
      </w:r>
      <w:r w:rsidRPr="00987063">
        <w:rPr>
          <w:rFonts w:ascii="Times New Roman" w:eastAsia="標楷體" w:hAnsi="Times New Roman" w:cs="Times New Roman"/>
        </w:rPr>
        <w:t>同樣呼籲世界各國領導人在下半世紀時，應採用氣候協議來共同</w:t>
      </w:r>
      <w:proofErr w:type="gramStart"/>
      <w:r w:rsidRPr="00987063">
        <w:rPr>
          <w:rFonts w:ascii="Times New Roman" w:eastAsia="標楷體" w:hAnsi="Times New Roman" w:cs="Times New Roman"/>
        </w:rPr>
        <w:t>邁向淨零排放</w:t>
      </w:r>
      <w:proofErr w:type="gramEnd"/>
      <w:r w:rsidRPr="00987063">
        <w:rPr>
          <w:rFonts w:ascii="Times New Roman" w:eastAsia="標楷體" w:hAnsi="Times New Roman" w:cs="Times New Roman"/>
        </w:rPr>
        <w:t>的目標。他說：「創造一個安全、長期的政策架構將會促使企業走的更遠及更迅速」</w:t>
      </w:r>
    </w:p>
    <w:p w:rsidR="00987063" w:rsidRPr="00987063" w:rsidRDefault="00987063"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「我們呼籲在世界各地的公司來加入</w:t>
      </w:r>
      <w:proofErr w:type="spellStart"/>
      <w:r w:rsidRPr="00987063">
        <w:rPr>
          <w:rFonts w:ascii="Times New Roman" w:eastAsia="標楷體" w:hAnsi="Times New Roman" w:cs="Times New Roman"/>
        </w:rPr>
        <w:t>LCTPi</w:t>
      </w:r>
      <w:proofErr w:type="spellEnd"/>
      <w:r w:rsidRPr="00987063">
        <w:rPr>
          <w:rFonts w:ascii="Times New Roman" w:eastAsia="標楷體" w:hAnsi="Times New Roman" w:cs="Times New Roman"/>
        </w:rPr>
        <w:t>和幫助推動創新和合作的核心倡議」</w:t>
      </w:r>
      <w:r w:rsidR="000570EC">
        <w:rPr>
          <w:rFonts w:ascii="Times New Roman" w:eastAsia="標楷體" w:hAnsi="Times New Roman" w:cs="Times New Roman" w:hint="eastAsia"/>
        </w:rPr>
        <w:t>，而</w:t>
      </w:r>
      <w:r w:rsidRPr="00987063">
        <w:rPr>
          <w:rFonts w:ascii="Times New Roman" w:eastAsia="標楷體" w:hAnsi="Times New Roman" w:cs="Times New Roman"/>
        </w:rPr>
        <w:t>本日稍早時，編輯報導指出有</w:t>
      </w:r>
      <w:r w:rsidRPr="00987063">
        <w:rPr>
          <w:rFonts w:ascii="Times New Roman" w:eastAsia="標楷體" w:hAnsi="Times New Roman" w:cs="Times New Roman"/>
        </w:rPr>
        <w:t>6</w:t>
      </w:r>
      <w:r w:rsidRPr="00987063">
        <w:rPr>
          <w:rFonts w:ascii="Times New Roman" w:eastAsia="標楷體" w:hAnsi="Times New Roman" w:cs="Times New Roman"/>
        </w:rPr>
        <w:t>家公司包括</w:t>
      </w:r>
      <w:r w:rsidRPr="00987063">
        <w:rPr>
          <w:rFonts w:ascii="Times New Roman" w:eastAsia="標楷體" w:hAnsi="Times New Roman" w:cs="Times New Roman"/>
        </w:rPr>
        <w:t>BMW</w:t>
      </w:r>
      <w:r w:rsidRPr="00987063">
        <w:rPr>
          <w:rFonts w:ascii="Times New Roman" w:eastAsia="標楷體" w:hAnsi="Times New Roman" w:cs="Times New Roman"/>
        </w:rPr>
        <w:t>和可口可樂等企業已經加入了</w:t>
      </w:r>
      <w:r w:rsidRPr="00987063">
        <w:rPr>
          <w:rFonts w:ascii="Times New Roman" w:eastAsia="標楷體" w:hAnsi="Times New Roman" w:cs="Times New Roman"/>
        </w:rPr>
        <w:t>RE100</w:t>
      </w:r>
      <w:r w:rsidRPr="00987063">
        <w:rPr>
          <w:rFonts w:ascii="Times New Roman" w:eastAsia="標楷體" w:hAnsi="Times New Roman" w:cs="Times New Roman"/>
        </w:rPr>
        <w:t>倡議，承諾未來所有的電力將全部使用再生能源。</w:t>
      </w:r>
    </w:p>
    <w:p w:rsidR="00987063" w:rsidRPr="000570EC" w:rsidRDefault="00987063" w:rsidP="00987063">
      <w:pPr>
        <w:snapToGrid w:val="0"/>
        <w:spacing w:beforeLines="50" w:before="180"/>
        <w:rPr>
          <w:rFonts w:ascii="Times New Roman" w:eastAsia="標楷體" w:hAnsi="Times New Roman" w:cs="Times New Roman"/>
        </w:rPr>
      </w:pPr>
    </w:p>
    <w:p w:rsidR="00987063" w:rsidRPr="00987063" w:rsidRDefault="00987063" w:rsidP="00987063">
      <w:pPr>
        <w:widowControl/>
        <w:snapToGrid w:val="0"/>
        <w:spacing w:beforeLines="50" w:before="180"/>
        <w:rPr>
          <w:rFonts w:ascii="Times New Roman" w:eastAsia="標楷體" w:hAnsi="Times New Roman" w:cs="Times New Roman"/>
        </w:rPr>
      </w:pPr>
      <w:r w:rsidRPr="00987063">
        <w:rPr>
          <w:rFonts w:ascii="Times New Roman" w:eastAsia="標楷體" w:hAnsi="Times New Roman" w:cs="Times New Roman"/>
        </w:rPr>
        <w:br w:type="page"/>
      </w:r>
    </w:p>
    <w:p w:rsidR="00987063" w:rsidRPr="00987063" w:rsidRDefault="006D5E6D" w:rsidP="00987063">
      <w:pPr>
        <w:snapToGrid w:val="0"/>
        <w:spacing w:beforeLines="50" w:before="180"/>
        <w:rPr>
          <w:rFonts w:ascii="Times New Roman" w:eastAsia="標楷體" w:hAnsi="Times New Roman" w:cs="Times New Roman"/>
          <w:b/>
        </w:rPr>
      </w:pPr>
      <w:r>
        <w:rPr>
          <w:rFonts w:ascii="Times New Roman" w:eastAsia="標楷體" w:hAnsi="Times New Roman" w:cs="Times New Roman" w:hint="eastAsia"/>
          <w:b/>
          <w:sz w:val="28"/>
        </w:rPr>
        <w:lastRenderedPageBreak/>
        <w:t>2</w:t>
      </w:r>
      <w:r w:rsidRPr="006D5E6D">
        <w:rPr>
          <w:rFonts w:ascii="Times New Roman" w:eastAsia="標楷體" w:hAnsi="Times New Roman" w:cs="Times New Roman" w:hint="eastAsia"/>
          <w:b/>
          <w:sz w:val="28"/>
        </w:rPr>
        <w:t>.</w:t>
      </w:r>
      <w:r w:rsidR="00987063" w:rsidRPr="006D5E6D">
        <w:rPr>
          <w:rFonts w:ascii="Times New Roman" w:eastAsia="標楷體" w:hAnsi="Times New Roman" w:cs="Times New Roman"/>
          <w:b/>
          <w:sz w:val="28"/>
        </w:rPr>
        <w:t>主要金融機構將整合氣候變遷</w:t>
      </w:r>
      <w:r w:rsidR="00987063" w:rsidRPr="00987063">
        <w:rPr>
          <w:rFonts w:ascii="Times New Roman" w:eastAsia="標楷體" w:hAnsi="Times New Roman" w:cs="Times New Roman"/>
          <w:b/>
        </w:rPr>
        <w:t xml:space="preserve"> (The World Bank</w:t>
      </w:r>
      <w:r w:rsidR="00987063" w:rsidRPr="00987063">
        <w:rPr>
          <w:rFonts w:ascii="Times New Roman" w:eastAsia="標楷體" w:hAnsi="Times New Roman" w:cs="Times New Roman"/>
          <w:b/>
        </w:rPr>
        <w:t>，</w:t>
      </w:r>
      <w:r w:rsidR="00987063" w:rsidRPr="00987063">
        <w:rPr>
          <w:rFonts w:ascii="Times New Roman" w:eastAsia="標楷體" w:hAnsi="Times New Roman" w:cs="Times New Roman"/>
          <w:b/>
        </w:rPr>
        <w:t>2015/12/7)</w:t>
      </w:r>
    </w:p>
    <w:p w:rsidR="00987063" w:rsidRPr="00987063" w:rsidRDefault="006D5E6D" w:rsidP="00987063">
      <w:pPr>
        <w:snapToGrid w:val="0"/>
        <w:spacing w:beforeLines="50" w:before="180"/>
        <w:rPr>
          <w:rFonts w:ascii="Times New Roman" w:eastAsia="標楷體" w:hAnsi="Times New Roman" w:cs="Times New Roman"/>
        </w:rPr>
      </w:pPr>
      <w:hyperlink r:id="rId10" w:history="1">
        <w:r w:rsidR="00987063" w:rsidRPr="00987063">
          <w:rPr>
            <w:rStyle w:val="a8"/>
            <w:rFonts w:ascii="Times New Roman" w:eastAsia="標楷體" w:hAnsi="Times New Roman" w:cs="Times New Roman"/>
          </w:rPr>
          <w:t>http://www.worldbank.org/en/news/press-release/2015/12/07/major-financial-institutions-move-to-integrate-climate-change</w:t>
        </w:r>
      </w:hyperlink>
    </w:p>
    <w:p w:rsidR="00987063" w:rsidRPr="000570EC" w:rsidRDefault="00987063" w:rsidP="00987063">
      <w:pPr>
        <w:snapToGrid w:val="0"/>
        <w:spacing w:beforeLines="50" w:before="180"/>
        <w:rPr>
          <w:rFonts w:ascii="Times New Roman" w:eastAsia="標楷體" w:hAnsi="Times New Roman" w:cs="Times New Roman"/>
        </w:rPr>
      </w:pPr>
      <w:r w:rsidRPr="000570EC">
        <w:rPr>
          <w:rFonts w:ascii="Times New Roman" w:eastAsia="標楷體" w:hAnsi="Times New Roman" w:cs="Times New Roman"/>
        </w:rPr>
        <w:t>機構的資產負債表價值超過</w:t>
      </w:r>
      <w:r w:rsidRPr="000570EC">
        <w:rPr>
          <w:rFonts w:ascii="Times New Roman" w:eastAsia="標楷體" w:hAnsi="Times New Roman" w:cs="Times New Roman"/>
        </w:rPr>
        <w:t>$11</w:t>
      </w:r>
      <w:r w:rsidRPr="000570EC">
        <w:rPr>
          <w:rFonts w:ascii="Times New Roman" w:eastAsia="標楷體" w:hAnsi="Times New Roman" w:cs="Times New Roman"/>
        </w:rPr>
        <w:t>兆美元</w:t>
      </w:r>
    </w:p>
    <w:p w:rsidR="00987063" w:rsidRPr="00987063" w:rsidRDefault="00987063"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來自世界各地數家全球領先的金融機構都已經加入了世界銀行集團</w:t>
      </w:r>
      <w:r w:rsidRPr="00987063">
        <w:rPr>
          <w:rFonts w:ascii="Times New Roman" w:eastAsia="標楷體" w:hAnsi="Times New Roman" w:cs="Times New Roman"/>
        </w:rPr>
        <w:t>(World Bank Group)</w:t>
      </w:r>
      <w:r w:rsidRPr="00987063">
        <w:rPr>
          <w:rFonts w:ascii="Times New Roman" w:eastAsia="標楷體" w:hAnsi="Times New Roman" w:cs="Times New Roman"/>
        </w:rPr>
        <w:t>和多邊開發銀行都簽署新的原則，以整合氣候變遷資訊納入他們的融資和營運管理中。</w:t>
      </w:r>
    </w:p>
    <w:p w:rsidR="00987063" w:rsidRPr="00987063" w:rsidRDefault="00987063"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來</w:t>
      </w:r>
      <w:proofErr w:type="gramStart"/>
      <w:r w:rsidRPr="00987063">
        <w:rPr>
          <w:rFonts w:ascii="Times New Roman" w:eastAsia="標楷體" w:hAnsi="Times New Roman" w:cs="Times New Roman"/>
        </w:rPr>
        <w:t>自已</w:t>
      </w:r>
      <w:proofErr w:type="gramEnd"/>
      <w:r w:rsidRPr="00987063">
        <w:rPr>
          <w:rFonts w:ascii="Times New Roman" w:eastAsia="標楷體" w:hAnsi="Times New Roman" w:cs="Times New Roman"/>
        </w:rPr>
        <w:t>開發和發展中國家的</w:t>
      </w:r>
      <w:r w:rsidRPr="00987063">
        <w:rPr>
          <w:rFonts w:ascii="Times New Roman" w:eastAsia="標楷體" w:hAnsi="Times New Roman" w:cs="Times New Roman"/>
        </w:rPr>
        <w:t>26</w:t>
      </w:r>
      <w:r w:rsidRPr="00987063">
        <w:rPr>
          <w:rFonts w:ascii="Times New Roman" w:eastAsia="標楷體" w:hAnsi="Times New Roman" w:cs="Times New Roman"/>
        </w:rPr>
        <w:t>家金融機構，其合併資產負債表超過</w:t>
      </w:r>
      <w:r w:rsidRPr="00987063">
        <w:rPr>
          <w:rFonts w:ascii="Times New Roman" w:eastAsia="標楷體" w:hAnsi="Times New Roman" w:cs="Times New Roman"/>
        </w:rPr>
        <w:t>$11</w:t>
      </w:r>
      <w:r w:rsidRPr="00987063">
        <w:rPr>
          <w:rFonts w:ascii="Times New Roman" w:eastAsia="標楷體" w:hAnsi="Times New Roman" w:cs="Times New Roman"/>
        </w:rPr>
        <w:t>兆美元都簽署了自願原則，以主導金融機構內部的氣候行動，承諾將氣候因素納入其投資和諮詢職能。</w:t>
      </w:r>
    </w:p>
    <w:p w:rsidR="00987063" w:rsidRPr="00987063" w:rsidRDefault="00987063"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世界銀行集團副總裁和氣候變遷特使</w:t>
      </w:r>
      <w:r w:rsidRPr="00987063">
        <w:rPr>
          <w:rFonts w:ascii="Times New Roman" w:eastAsia="標楷體" w:hAnsi="Times New Roman" w:cs="Times New Roman"/>
        </w:rPr>
        <w:t xml:space="preserve">Rachel </w:t>
      </w:r>
      <w:proofErr w:type="spellStart"/>
      <w:r w:rsidRPr="00987063">
        <w:rPr>
          <w:rFonts w:ascii="Times New Roman" w:eastAsia="標楷體" w:hAnsi="Times New Roman" w:cs="Times New Roman"/>
        </w:rPr>
        <w:t>Kyte</w:t>
      </w:r>
      <w:proofErr w:type="spellEnd"/>
      <w:proofErr w:type="gramStart"/>
      <w:r w:rsidRPr="00987063">
        <w:rPr>
          <w:rFonts w:ascii="Times New Roman" w:eastAsia="標楷體" w:hAnsi="Times New Roman" w:cs="Times New Roman"/>
        </w:rPr>
        <w:t>說到</w:t>
      </w:r>
      <w:proofErr w:type="gramEnd"/>
      <w:r w:rsidRPr="00987063">
        <w:rPr>
          <w:rFonts w:ascii="Times New Roman" w:eastAsia="標楷體" w:hAnsi="Times New Roman" w:cs="Times New Roman"/>
        </w:rPr>
        <w:t>：「當代表著</w:t>
      </w:r>
      <w:r w:rsidRPr="00987063">
        <w:rPr>
          <w:rFonts w:ascii="Times New Roman" w:eastAsia="標楷體" w:hAnsi="Times New Roman" w:cs="Times New Roman"/>
        </w:rPr>
        <w:t>$11</w:t>
      </w:r>
      <w:r w:rsidRPr="00987063">
        <w:rPr>
          <w:rFonts w:ascii="Times New Roman" w:eastAsia="標楷體" w:hAnsi="Times New Roman" w:cs="Times New Roman"/>
        </w:rPr>
        <w:t>兆美元的這些金融機構採用了這些原則進行管理，我們相信這些原則將有助於提供更好地服務給我們的私人和公共國家的客戶」。「更充分地將氣候風險納入決策，並推動新的清潔能源和急需的基礎設施投資」</w:t>
      </w:r>
    </w:p>
    <w:p w:rsidR="00987063" w:rsidRPr="00987063" w:rsidRDefault="00987063"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這些原則制定出明確的途徑為金融機構將氣候變遷納入他們的營運目的，使他們能夠在營運和財務的成長上，提交更好地、</w:t>
      </w:r>
      <w:proofErr w:type="gramStart"/>
      <w:r w:rsidRPr="00987063">
        <w:rPr>
          <w:rFonts w:ascii="Times New Roman" w:eastAsia="標楷體" w:hAnsi="Times New Roman" w:cs="Times New Roman"/>
        </w:rPr>
        <w:t>更永續</w:t>
      </w:r>
      <w:proofErr w:type="gramEnd"/>
      <w:r w:rsidRPr="00987063">
        <w:rPr>
          <w:rFonts w:ascii="Times New Roman" w:eastAsia="標楷體" w:hAnsi="Times New Roman" w:cs="Times New Roman"/>
        </w:rPr>
        <w:t>的、短期和長期的成果。</w:t>
      </w:r>
    </w:p>
    <w:p w:rsidR="00987063" w:rsidRPr="00987063" w:rsidRDefault="00987063"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他們制定出檢視金融機構在結合氣候行動的</w:t>
      </w:r>
      <w:r w:rsidRPr="00987063">
        <w:rPr>
          <w:rFonts w:ascii="Times New Roman" w:eastAsia="標楷體" w:hAnsi="Times New Roman" w:cs="Times New Roman"/>
        </w:rPr>
        <w:t>5</w:t>
      </w:r>
      <w:r w:rsidRPr="00987063">
        <w:rPr>
          <w:rFonts w:ascii="Times New Roman" w:eastAsia="標楷體" w:hAnsi="Times New Roman" w:cs="Times New Roman"/>
        </w:rPr>
        <w:t>大原則</w:t>
      </w:r>
      <w:proofErr w:type="gramStart"/>
      <w:r w:rsidRPr="00987063">
        <w:rPr>
          <w:rFonts w:ascii="Times New Roman" w:eastAsia="標楷體" w:hAnsi="Times New Roman" w:cs="Times New Roman"/>
        </w:rPr>
        <w:t>–</w:t>
      </w:r>
      <w:proofErr w:type="gramEnd"/>
      <w:r w:rsidRPr="00987063">
        <w:rPr>
          <w:rFonts w:ascii="Times New Roman" w:eastAsia="標楷體" w:hAnsi="Times New Roman" w:cs="Times New Roman"/>
        </w:rPr>
        <w:t>承諾氣候策略；管理氣候風險；推廣氣候智慧目標；改善氣候效能和實踐氣候行動。</w:t>
      </w:r>
    </w:p>
    <w:p w:rsidR="00987063" w:rsidRPr="00987063" w:rsidRDefault="00987063"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這五大原則的發展，在全球金融機構中已實踐超過二十年了。在今天也發布了與這些原則相關的新興實踐案例，並說明了一些金融機構目前如何將氣候變遷因素納入其核心活動的多種途徑，並提供相關經驗的關鍵內容，包括氣候風險篩選的實用性，以及為減緩和調適金融通用指標的發展。</w:t>
      </w:r>
    </w:p>
    <w:p w:rsidR="00987063" w:rsidRPr="00987063" w:rsidRDefault="00987063"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這些原則最初是一組由多邊開發銀行和一些國際開發金融俱樂部</w:t>
      </w:r>
      <w:r w:rsidRPr="00987063">
        <w:rPr>
          <w:rFonts w:ascii="Times New Roman" w:eastAsia="標楷體" w:hAnsi="Times New Roman" w:cs="Times New Roman"/>
        </w:rPr>
        <w:t>(International Development Finance Club, IDFC)</w:t>
      </w:r>
      <w:r w:rsidRPr="00987063">
        <w:rPr>
          <w:rFonts w:ascii="Times New Roman" w:eastAsia="標楷體" w:hAnsi="Times New Roman" w:cs="Times New Roman"/>
        </w:rPr>
        <w:t>、以及國家、區域和國際開發銀行的幾名成員共同發展。該小組隨後加入世界各地的其他私人和公部門的金融組織。</w:t>
      </w:r>
    </w:p>
    <w:p w:rsidR="00987063" w:rsidRPr="00987063" w:rsidRDefault="00987063"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就此部分而言，世界銀行集團一直將氣候變化納入其所有業務，包括最貧窮國家和國際開發協會</w:t>
      </w:r>
      <w:r w:rsidRPr="00987063">
        <w:rPr>
          <w:rFonts w:ascii="Times New Roman" w:eastAsia="標楷體" w:hAnsi="Times New Roman" w:cs="Times New Roman"/>
        </w:rPr>
        <w:t>(IDA)</w:t>
      </w:r>
      <w:r w:rsidRPr="00987063">
        <w:rPr>
          <w:rFonts w:ascii="Times New Roman" w:eastAsia="標楷體" w:hAnsi="Times New Roman" w:cs="Times New Roman"/>
        </w:rPr>
        <w:t>的其金。</w:t>
      </w:r>
    </w:p>
    <w:p w:rsidR="00987063" w:rsidRPr="00987063" w:rsidRDefault="00987063" w:rsidP="00987063">
      <w:pPr>
        <w:widowControl/>
        <w:snapToGrid w:val="0"/>
        <w:spacing w:beforeLines="50" w:before="180"/>
        <w:rPr>
          <w:rFonts w:ascii="Times New Roman" w:eastAsia="標楷體" w:hAnsi="Times New Roman" w:cs="Times New Roman"/>
        </w:rPr>
      </w:pPr>
      <w:r w:rsidRPr="00987063">
        <w:rPr>
          <w:rFonts w:ascii="Times New Roman" w:eastAsia="標楷體" w:hAnsi="Times New Roman" w:cs="Times New Roman"/>
        </w:rPr>
        <w:br w:type="page"/>
      </w:r>
    </w:p>
    <w:p w:rsidR="00987063" w:rsidRPr="006D5E6D" w:rsidRDefault="006D5E6D" w:rsidP="006D5E6D">
      <w:pPr>
        <w:snapToGrid w:val="0"/>
        <w:spacing w:beforeLines="50" w:before="180"/>
        <w:rPr>
          <w:rFonts w:ascii="Times New Roman" w:eastAsia="標楷體" w:hAnsi="Times New Roman" w:cs="Times New Roman"/>
          <w:b/>
        </w:rPr>
      </w:pPr>
      <w:r>
        <w:rPr>
          <w:rFonts w:ascii="Times New Roman" w:eastAsia="標楷體" w:hAnsi="Times New Roman" w:cs="Times New Roman" w:hint="eastAsia"/>
          <w:b/>
          <w:sz w:val="28"/>
        </w:rPr>
        <w:lastRenderedPageBreak/>
        <w:t>3.</w:t>
      </w:r>
      <w:r w:rsidR="00987063" w:rsidRPr="006D5E6D">
        <w:rPr>
          <w:rFonts w:ascii="Times New Roman" w:eastAsia="標楷體" w:hAnsi="Times New Roman" w:cs="Times New Roman"/>
          <w:b/>
          <w:sz w:val="28"/>
        </w:rPr>
        <w:t>在巴黎</w:t>
      </w:r>
      <w:r w:rsidR="00987063" w:rsidRPr="006D5E6D">
        <w:rPr>
          <w:rFonts w:ascii="Times New Roman" w:eastAsia="標楷體" w:hAnsi="Times New Roman" w:cs="Times New Roman"/>
          <w:b/>
          <w:sz w:val="28"/>
        </w:rPr>
        <w:t>COP21</w:t>
      </w:r>
      <w:r w:rsidR="00987063" w:rsidRPr="006D5E6D">
        <w:rPr>
          <w:rFonts w:ascii="Times New Roman" w:eastAsia="標楷體" w:hAnsi="Times New Roman" w:cs="Times New Roman"/>
          <w:b/>
          <w:sz w:val="28"/>
        </w:rPr>
        <w:t>的會議上有關</w:t>
      </w:r>
      <w:r w:rsidR="00987063" w:rsidRPr="006D5E6D">
        <w:rPr>
          <w:rFonts w:ascii="Times New Roman" w:eastAsia="標楷體" w:hAnsi="Times New Roman" w:cs="Times New Roman"/>
          <w:b/>
          <w:sz w:val="28"/>
        </w:rPr>
        <w:t>ADP</w:t>
      </w:r>
      <w:r w:rsidR="00987063" w:rsidRPr="006D5E6D">
        <w:rPr>
          <w:rFonts w:ascii="Times New Roman" w:eastAsia="標楷體" w:hAnsi="Times New Roman" w:cs="Times New Roman"/>
          <w:b/>
          <w:sz w:val="28"/>
        </w:rPr>
        <w:t>議題草案的結果</w:t>
      </w:r>
      <w:r w:rsidR="00987063" w:rsidRPr="006D5E6D">
        <w:rPr>
          <w:rFonts w:ascii="Times New Roman" w:eastAsia="標楷體" w:hAnsi="Times New Roman" w:cs="Times New Roman"/>
          <w:b/>
        </w:rPr>
        <w:t xml:space="preserve"> (IISD</w:t>
      </w:r>
      <w:r w:rsidR="00987063" w:rsidRPr="006D5E6D">
        <w:rPr>
          <w:rFonts w:ascii="Times New Roman" w:eastAsia="標楷體" w:hAnsi="Times New Roman" w:cs="Times New Roman"/>
          <w:b/>
        </w:rPr>
        <w:t>，</w:t>
      </w:r>
      <w:r w:rsidR="00987063" w:rsidRPr="006D5E6D">
        <w:rPr>
          <w:rFonts w:ascii="Times New Roman" w:eastAsia="標楷體" w:hAnsi="Times New Roman" w:cs="Times New Roman"/>
          <w:b/>
        </w:rPr>
        <w:t>2015/12/5)</w:t>
      </w:r>
    </w:p>
    <w:p w:rsidR="00987063" w:rsidRPr="00987063" w:rsidRDefault="006D5E6D" w:rsidP="00987063">
      <w:pPr>
        <w:snapToGrid w:val="0"/>
        <w:spacing w:beforeLines="50" w:before="180"/>
        <w:rPr>
          <w:rFonts w:ascii="Times New Roman" w:eastAsia="標楷體" w:hAnsi="Times New Roman" w:cs="Times New Roman"/>
        </w:rPr>
      </w:pPr>
      <w:hyperlink r:id="rId11" w:history="1">
        <w:r w:rsidR="00987063" w:rsidRPr="00987063">
          <w:rPr>
            <w:rStyle w:val="a8"/>
            <w:rFonts w:ascii="Times New Roman" w:eastAsia="標楷體" w:hAnsi="Times New Roman" w:cs="Times New Roman"/>
          </w:rPr>
          <w:t xml:space="preserve">http://climate-l.iisd.org/news/adp-issues-draft-paris-outcome-for-consideration-by-cop-21/ </w:t>
        </w:r>
      </w:hyperlink>
    </w:p>
    <w:p w:rsidR="00987063" w:rsidRPr="00987063" w:rsidRDefault="00987063" w:rsidP="00987063">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由</w:t>
      </w:r>
      <w:r w:rsidRPr="00987063">
        <w:rPr>
          <w:rFonts w:ascii="Times New Roman" w:eastAsia="標楷體" w:hAnsi="Times New Roman" w:cs="Times New Roman"/>
        </w:rPr>
        <w:t>UNFCCC</w:t>
      </w:r>
      <w:r w:rsidRPr="00987063">
        <w:rPr>
          <w:rFonts w:ascii="Times New Roman" w:eastAsia="標楷體" w:hAnsi="Times New Roman" w:cs="Times New Roman"/>
        </w:rPr>
        <w:t>舉辦之第二十一屆締約方大會</w:t>
      </w:r>
      <w:r w:rsidRPr="00987063">
        <w:rPr>
          <w:rFonts w:ascii="Times New Roman" w:eastAsia="標楷體" w:hAnsi="Times New Roman" w:cs="Times New Roman"/>
        </w:rPr>
        <w:t>(COP21)</w:t>
      </w:r>
      <w:r w:rsidRPr="00987063">
        <w:rPr>
          <w:rFonts w:ascii="Times New Roman" w:eastAsia="標楷體" w:hAnsi="Times New Roman" w:cs="Times New Roman"/>
        </w:rPr>
        <w:t>在</w:t>
      </w:r>
      <w:r w:rsidRPr="00987063">
        <w:rPr>
          <w:rFonts w:ascii="Times New Roman" w:eastAsia="標楷體" w:hAnsi="Times New Roman" w:cs="Times New Roman"/>
        </w:rPr>
        <w:t>12</w:t>
      </w:r>
      <w:r w:rsidRPr="00987063">
        <w:rPr>
          <w:rFonts w:ascii="Times New Roman" w:eastAsia="標楷體" w:hAnsi="Times New Roman" w:cs="Times New Roman"/>
        </w:rPr>
        <w:t>月</w:t>
      </w:r>
      <w:r w:rsidRPr="00987063">
        <w:rPr>
          <w:rFonts w:ascii="Times New Roman" w:eastAsia="標楷體" w:hAnsi="Times New Roman" w:cs="Times New Roman"/>
        </w:rPr>
        <w:t>5</w:t>
      </w:r>
      <w:r w:rsidRPr="00987063">
        <w:rPr>
          <w:rFonts w:ascii="Times New Roman" w:eastAsia="標楷體" w:hAnsi="Times New Roman" w:cs="Times New Roman"/>
        </w:rPr>
        <w:t>日</w:t>
      </w:r>
      <w:r w:rsidRPr="00987063">
        <w:rPr>
          <w:rFonts w:ascii="Times New Roman" w:eastAsia="標楷體" w:hAnsi="Times New Roman" w:cs="Times New Roman"/>
        </w:rPr>
        <w:t>(</w:t>
      </w:r>
      <w:r w:rsidRPr="00987063">
        <w:rPr>
          <w:rFonts w:ascii="Times New Roman" w:eastAsia="標楷體" w:hAnsi="Times New Roman" w:cs="Times New Roman"/>
        </w:rPr>
        <w:t>週六</w:t>
      </w:r>
      <w:r w:rsidRPr="00987063">
        <w:rPr>
          <w:rFonts w:ascii="Times New Roman" w:eastAsia="標楷體" w:hAnsi="Times New Roman" w:cs="Times New Roman"/>
        </w:rPr>
        <w:t>)</w:t>
      </w:r>
      <w:r w:rsidRPr="00987063">
        <w:rPr>
          <w:rFonts w:ascii="Times New Roman" w:eastAsia="標楷體" w:hAnsi="Times New Roman" w:cs="Times New Roman"/>
        </w:rPr>
        <w:t>結束了第一</w:t>
      </w:r>
      <w:proofErr w:type="gramStart"/>
      <w:r w:rsidRPr="00987063">
        <w:rPr>
          <w:rFonts w:ascii="Times New Roman" w:eastAsia="標楷體" w:hAnsi="Times New Roman" w:cs="Times New Roman"/>
        </w:rPr>
        <w:t>週</w:t>
      </w:r>
      <w:proofErr w:type="gramEnd"/>
      <w:r w:rsidRPr="00987063">
        <w:rPr>
          <w:rFonts w:ascii="Times New Roman" w:eastAsia="標楷體" w:hAnsi="Times New Roman" w:cs="Times New Roman"/>
        </w:rPr>
        <w:t>的會議，在德班增強行動平台特別工作小組</w:t>
      </w:r>
      <w:r w:rsidRPr="00987063">
        <w:rPr>
          <w:rFonts w:ascii="Times New Roman" w:eastAsia="標楷體" w:hAnsi="Times New Roman" w:cs="Times New Roman"/>
        </w:rPr>
        <w:t>(ADP)</w:t>
      </w:r>
      <w:r w:rsidRPr="00987063">
        <w:rPr>
          <w:rFonts w:ascii="Times New Roman" w:eastAsia="標楷體" w:hAnsi="Times New Roman" w:cs="Times New Roman"/>
        </w:rPr>
        <w:t>通過「德班增強行動平台特別工作小組之工作流程</w:t>
      </w:r>
      <w:r w:rsidRPr="00987063">
        <w:rPr>
          <w:rFonts w:ascii="Times New Roman" w:eastAsia="標楷體" w:hAnsi="Times New Roman" w:cs="Times New Roman"/>
        </w:rPr>
        <w:t>1</w:t>
      </w:r>
      <w:r w:rsidRPr="00987063">
        <w:rPr>
          <w:rFonts w:ascii="Times New Roman" w:eastAsia="標楷體" w:hAnsi="Times New Roman" w:cs="Times New Roman"/>
        </w:rPr>
        <w:t>和</w:t>
      </w:r>
      <w:r w:rsidRPr="00987063">
        <w:rPr>
          <w:rFonts w:ascii="Times New Roman" w:eastAsia="標楷體" w:hAnsi="Times New Roman" w:cs="Times New Roman"/>
        </w:rPr>
        <w:t>2</w:t>
      </w:r>
      <w:r w:rsidRPr="00987063">
        <w:rPr>
          <w:rFonts w:ascii="Times New Roman" w:eastAsia="標楷體" w:hAnsi="Times New Roman" w:cs="Times New Roman"/>
        </w:rPr>
        <w:t>所提出協議草案和決定草案」，並將其文件供</w:t>
      </w:r>
      <w:r w:rsidRPr="00987063">
        <w:rPr>
          <w:rFonts w:ascii="Times New Roman" w:eastAsia="標楷體" w:hAnsi="Times New Roman" w:cs="Times New Roman"/>
        </w:rPr>
        <w:t>COP21</w:t>
      </w:r>
      <w:r w:rsidRPr="00987063">
        <w:rPr>
          <w:rFonts w:ascii="Times New Roman" w:eastAsia="標楷體" w:hAnsi="Times New Roman" w:cs="Times New Roman"/>
        </w:rPr>
        <w:t>在未來進一步的討論。</w:t>
      </w:r>
    </w:p>
    <w:p w:rsidR="00987063" w:rsidRPr="00987063" w:rsidRDefault="00987063" w:rsidP="00987063">
      <w:pPr>
        <w:snapToGrid w:val="0"/>
        <w:spacing w:beforeLines="50" w:before="180"/>
        <w:rPr>
          <w:rFonts w:ascii="Times New Roman" w:eastAsia="標楷體" w:hAnsi="Times New Roman" w:cs="Times New Roman"/>
        </w:rPr>
      </w:pPr>
      <w:r w:rsidRPr="00987063">
        <w:rPr>
          <w:rFonts w:ascii="Times New Roman" w:eastAsia="標楷體" w:hAnsi="Times New Roman" w:cs="Times New Roman"/>
        </w:rPr>
        <w:tab/>
        <w:t>ADP</w:t>
      </w:r>
      <w:r w:rsidRPr="00987063">
        <w:rPr>
          <w:rFonts w:ascii="Times New Roman" w:eastAsia="標楷體" w:hAnsi="Times New Roman" w:cs="Times New Roman"/>
        </w:rPr>
        <w:t>也決定以總表形式的建議文件提供給</w:t>
      </w:r>
      <w:r w:rsidRPr="00987063">
        <w:rPr>
          <w:rFonts w:ascii="Times New Roman" w:eastAsia="標楷體" w:hAnsi="Times New Roman" w:cs="Times New Roman"/>
        </w:rPr>
        <w:t>COP21</w:t>
      </w:r>
      <w:r w:rsidRPr="00987063">
        <w:rPr>
          <w:rFonts w:ascii="Times New Roman" w:eastAsia="標楷體" w:hAnsi="Times New Roman" w:cs="Times New Roman"/>
        </w:rPr>
        <w:t>。該協議和決定的草案文件如括號所述</w:t>
      </w:r>
      <w:r w:rsidRPr="00987063">
        <w:rPr>
          <w:rFonts w:ascii="Times New Roman" w:eastAsia="標楷體" w:hAnsi="Times New Roman" w:cs="Times New Roman"/>
        </w:rPr>
        <w:t>(FCCC/ADP/2015/L.6/Rev.1 and FCCC/ADP/2015/L.6/Rev.1/Add.1)</w:t>
      </w:r>
      <w:r w:rsidRPr="00987063">
        <w:rPr>
          <w:rFonts w:ascii="Times New Roman" w:eastAsia="標楷體" w:hAnsi="Times New Roman" w:cs="Times New Roman"/>
        </w:rPr>
        <w:t>。</w:t>
      </w:r>
    </w:p>
    <w:p w:rsidR="00987063" w:rsidRPr="00987063" w:rsidRDefault="00987063" w:rsidP="00987063">
      <w:pPr>
        <w:snapToGrid w:val="0"/>
        <w:spacing w:beforeLines="50" w:before="180"/>
        <w:rPr>
          <w:rFonts w:ascii="Times New Roman" w:eastAsia="標楷體" w:hAnsi="Times New Roman" w:cs="Times New Roman"/>
        </w:rPr>
      </w:pPr>
      <w:r w:rsidRPr="00987063">
        <w:rPr>
          <w:rFonts w:ascii="Times New Roman" w:eastAsia="標楷體" w:hAnsi="Times New Roman" w:cs="Times New Roman"/>
        </w:rPr>
        <w:tab/>
      </w:r>
      <w:r w:rsidRPr="00987063">
        <w:rPr>
          <w:rFonts w:ascii="Times New Roman" w:eastAsia="標楷體" w:hAnsi="Times New Roman" w:cs="Times New Roman"/>
        </w:rPr>
        <w:t>該協議草案包括</w:t>
      </w:r>
      <w:r w:rsidRPr="00987063">
        <w:rPr>
          <w:rFonts w:ascii="Times New Roman" w:eastAsia="標楷體" w:hAnsi="Times New Roman" w:cs="Times New Roman"/>
        </w:rPr>
        <w:t>26</w:t>
      </w:r>
      <w:r w:rsidRPr="00987063">
        <w:rPr>
          <w:rFonts w:ascii="Times New Roman" w:eastAsia="標楷體" w:hAnsi="Times New Roman" w:cs="Times New Roman"/>
        </w:rPr>
        <w:t>條項目，特別是減緩、調適、損失和損害、</w:t>
      </w:r>
      <w:r w:rsidRPr="00987063">
        <w:rPr>
          <w:rFonts w:ascii="Times New Roman" w:eastAsia="標楷體" w:hAnsi="Times New Roman" w:cs="Times New Roman"/>
        </w:rPr>
        <w:t>REDD+</w:t>
      </w:r>
      <w:r w:rsidRPr="00987063">
        <w:rPr>
          <w:rFonts w:ascii="Times New Roman" w:eastAsia="標楷體" w:hAnsi="Times New Roman" w:cs="Times New Roman"/>
        </w:rPr>
        <w:t>、支持永續發展機制、財務、技術開發和轉讓、能力建置、透明度、以及執行和承諾。該文件包含大量的選項和括號。</w:t>
      </w:r>
    </w:p>
    <w:p w:rsidR="00987063" w:rsidRPr="00987063" w:rsidRDefault="00987063" w:rsidP="00987063">
      <w:pPr>
        <w:snapToGrid w:val="0"/>
        <w:spacing w:beforeLines="50" w:before="180"/>
        <w:rPr>
          <w:rFonts w:ascii="Times New Roman" w:eastAsia="標楷體" w:hAnsi="Times New Roman" w:cs="Times New Roman"/>
        </w:rPr>
      </w:pPr>
      <w:r w:rsidRPr="00987063">
        <w:rPr>
          <w:rFonts w:ascii="Times New Roman" w:eastAsia="標楷體" w:hAnsi="Times New Roman" w:cs="Times New Roman"/>
        </w:rPr>
        <w:tab/>
      </w:r>
      <w:r w:rsidRPr="00987063">
        <w:rPr>
          <w:rFonts w:ascii="Times New Roman" w:eastAsia="標楷體" w:hAnsi="Times New Roman" w:cs="Times New Roman"/>
        </w:rPr>
        <w:t>決定的草案包括了幾個部分：通過該協議；國家自定預期貢獻</w:t>
      </w:r>
      <w:r w:rsidRPr="00987063">
        <w:rPr>
          <w:rFonts w:ascii="Times New Roman" w:eastAsia="標楷體" w:hAnsi="Times New Roman" w:cs="Times New Roman"/>
        </w:rPr>
        <w:t>(INDCs)</w:t>
      </w:r>
      <w:r w:rsidRPr="00987063">
        <w:rPr>
          <w:rFonts w:ascii="Times New Roman" w:eastAsia="標楷體" w:hAnsi="Times New Roman" w:cs="Times New Roman"/>
        </w:rPr>
        <w:t>；決定就減緩、調適、損失和損害、財務、技術開發和轉讓、能力建置、透明度的行動和支持、全球股市、以及協助執行和承諾以落實協議的有效性；工作流程</w:t>
      </w:r>
      <w:r w:rsidRPr="00987063">
        <w:rPr>
          <w:rFonts w:ascii="Times New Roman" w:eastAsia="標楷體" w:hAnsi="Times New Roman" w:cs="Times New Roman"/>
        </w:rPr>
        <w:t>2(</w:t>
      </w:r>
      <w:r w:rsidRPr="00987063">
        <w:rPr>
          <w:rFonts w:ascii="Times New Roman" w:eastAsia="標楷體" w:hAnsi="Times New Roman" w:cs="Times New Roman"/>
        </w:rPr>
        <w:t>前</w:t>
      </w:r>
      <w:r w:rsidRPr="00987063">
        <w:rPr>
          <w:rFonts w:ascii="Times New Roman" w:eastAsia="標楷體" w:hAnsi="Times New Roman" w:cs="Times New Roman"/>
        </w:rPr>
        <w:t>2020</w:t>
      </w:r>
      <w:r w:rsidRPr="00987063">
        <w:rPr>
          <w:rFonts w:ascii="Times New Roman" w:eastAsia="標楷體" w:hAnsi="Times New Roman" w:cs="Times New Roman"/>
        </w:rPr>
        <w:t>年的方向</w:t>
      </w:r>
      <w:r w:rsidRPr="00987063">
        <w:rPr>
          <w:rFonts w:ascii="Times New Roman" w:eastAsia="標楷體" w:hAnsi="Times New Roman" w:cs="Times New Roman"/>
        </w:rPr>
        <w:t>)</w:t>
      </w:r>
      <w:r w:rsidRPr="00987063">
        <w:rPr>
          <w:rFonts w:ascii="Times New Roman" w:eastAsia="標楷體" w:hAnsi="Times New Roman" w:cs="Times New Roman"/>
        </w:rPr>
        <w:t>；非政黨利害關係人；以及行政和預算問題。</w:t>
      </w:r>
    </w:p>
    <w:p w:rsidR="00987063" w:rsidRPr="00987063" w:rsidRDefault="00987063" w:rsidP="00987063">
      <w:pPr>
        <w:snapToGrid w:val="0"/>
        <w:spacing w:beforeLines="50" w:before="180"/>
        <w:rPr>
          <w:rFonts w:ascii="Times New Roman" w:eastAsia="標楷體" w:hAnsi="Times New Roman" w:cs="Times New Roman"/>
        </w:rPr>
      </w:pPr>
      <w:r w:rsidRPr="00987063">
        <w:rPr>
          <w:rFonts w:ascii="Times New Roman" w:eastAsia="標楷體" w:hAnsi="Times New Roman" w:cs="Times New Roman"/>
        </w:rPr>
        <w:tab/>
      </w:r>
      <w:r w:rsidRPr="00987063">
        <w:rPr>
          <w:rFonts w:ascii="Times New Roman" w:eastAsia="標楷體" w:hAnsi="Times New Roman" w:cs="Times New Roman"/>
        </w:rPr>
        <w:t>該協議草案和決定草案將由</w:t>
      </w:r>
      <w:r w:rsidRPr="00987063">
        <w:rPr>
          <w:rFonts w:ascii="Times New Roman" w:eastAsia="標楷體" w:hAnsi="Times New Roman" w:cs="Times New Roman"/>
        </w:rPr>
        <w:t>COP21</w:t>
      </w:r>
      <w:r w:rsidRPr="00987063">
        <w:rPr>
          <w:rFonts w:ascii="Times New Roman" w:eastAsia="標楷體" w:hAnsi="Times New Roman" w:cs="Times New Roman"/>
        </w:rPr>
        <w:t>在第二</w:t>
      </w:r>
      <w:proofErr w:type="gramStart"/>
      <w:r w:rsidRPr="00987063">
        <w:rPr>
          <w:rFonts w:ascii="Times New Roman" w:eastAsia="標楷體" w:hAnsi="Times New Roman" w:cs="Times New Roman"/>
        </w:rPr>
        <w:t>週</w:t>
      </w:r>
      <w:proofErr w:type="gramEnd"/>
      <w:r w:rsidRPr="00987063">
        <w:rPr>
          <w:rFonts w:ascii="Times New Roman" w:eastAsia="標楷體" w:hAnsi="Times New Roman" w:cs="Times New Roman"/>
        </w:rPr>
        <w:t>的談判會議上進行審議。</w:t>
      </w:r>
    </w:p>
    <w:p w:rsidR="00987063" w:rsidRPr="00987063" w:rsidRDefault="00987063" w:rsidP="00987063">
      <w:pPr>
        <w:snapToGrid w:val="0"/>
        <w:spacing w:beforeLines="50" w:before="180"/>
        <w:rPr>
          <w:rFonts w:ascii="Times New Roman" w:eastAsia="標楷體" w:hAnsi="Times New Roman" w:cs="Times New Roman"/>
        </w:rPr>
      </w:pPr>
    </w:p>
    <w:p w:rsidR="00987063" w:rsidRPr="00987063" w:rsidRDefault="00987063" w:rsidP="00987063">
      <w:pPr>
        <w:widowControl/>
        <w:snapToGrid w:val="0"/>
        <w:spacing w:beforeLines="50" w:before="180"/>
        <w:rPr>
          <w:rFonts w:ascii="Times New Roman" w:eastAsia="標楷體" w:hAnsi="Times New Roman" w:cs="Times New Roman"/>
        </w:rPr>
      </w:pPr>
      <w:r w:rsidRPr="00987063">
        <w:rPr>
          <w:rFonts w:ascii="Times New Roman" w:eastAsia="標楷體" w:hAnsi="Times New Roman" w:cs="Times New Roman"/>
        </w:rPr>
        <w:br w:type="page"/>
      </w:r>
    </w:p>
    <w:p w:rsidR="0005290A" w:rsidRPr="006D5E6D" w:rsidRDefault="006D5E6D" w:rsidP="006D5E6D">
      <w:pPr>
        <w:snapToGrid w:val="0"/>
        <w:spacing w:beforeLines="50" w:before="180"/>
        <w:rPr>
          <w:rFonts w:ascii="Times New Roman" w:eastAsia="標楷體" w:hAnsi="Times New Roman" w:cs="Times New Roman"/>
        </w:rPr>
      </w:pPr>
      <w:r>
        <w:rPr>
          <w:rFonts w:ascii="Times New Roman" w:eastAsia="標楷體" w:hAnsi="Times New Roman" w:cs="Times New Roman" w:hint="eastAsia"/>
          <w:b/>
          <w:sz w:val="28"/>
        </w:rPr>
        <w:lastRenderedPageBreak/>
        <w:t>4.</w:t>
      </w:r>
      <w:r w:rsidR="0005290A" w:rsidRPr="006D5E6D">
        <w:rPr>
          <w:rFonts w:ascii="Times New Roman" w:eastAsia="標楷體" w:hAnsi="Times New Roman" w:cs="Times New Roman"/>
          <w:b/>
          <w:sz w:val="28"/>
        </w:rPr>
        <w:t>CFA</w:t>
      </w:r>
      <w:r w:rsidR="0005290A" w:rsidRPr="006D5E6D">
        <w:rPr>
          <w:rFonts w:ascii="Times New Roman" w:eastAsia="標楷體" w:hAnsi="Times New Roman" w:cs="Times New Roman"/>
          <w:b/>
          <w:sz w:val="28"/>
        </w:rPr>
        <w:t>協會發布新的</w:t>
      </w:r>
      <w:r w:rsidR="0005290A" w:rsidRPr="006D5E6D">
        <w:rPr>
          <w:rFonts w:ascii="Times New Roman" w:eastAsia="標楷體" w:hAnsi="Times New Roman" w:cs="Times New Roman"/>
          <w:b/>
          <w:sz w:val="28"/>
        </w:rPr>
        <w:t>ESG</w:t>
      </w:r>
      <w:r w:rsidR="0005290A" w:rsidRPr="006D5E6D">
        <w:rPr>
          <w:rFonts w:ascii="Times New Roman" w:eastAsia="標楷體" w:hAnsi="Times New Roman" w:cs="Times New Roman"/>
          <w:b/>
          <w:sz w:val="28"/>
        </w:rPr>
        <w:t>指南</w:t>
      </w:r>
      <w:r w:rsidR="0005290A" w:rsidRPr="006D5E6D">
        <w:rPr>
          <w:rFonts w:ascii="Times New Roman" w:eastAsia="標楷體" w:hAnsi="Times New Roman" w:cs="Times New Roman"/>
        </w:rPr>
        <w:t xml:space="preserve"> (Investor Daily</w:t>
      </w:r>
      <w:r w:rsidR="0005290A" w:rsidRPr="006D5E6D">
        <w:rPr>
          <w:rFonts w:ascii="Times New Roman" w:eastAsia="標楷體" w:hAnsi="Times New Roman" w:cs="Times New Roman"/>
        </w:rPr>
        <w:t>，</w:t>
      </w:r>
      <w:r w:rsidR="0005290A" w:rsidRPr="006D5E6D">
        <w:rPr>
          <w:rFonts w:ascii="Times New Roman" w:eastAsia="標楷體" w:hAnsi="Times New Roman" w:cs="Times New Roman"/>
        </w:rPr>
        <w:t>2015/12/4)</w:t>
      </w:r>
    </w:p>
    <w:p w:rsidR="0005290A" w:rsidRPr="00987063" w:rsidRDefault="006D5E6D" w:rsidP="00987063">
      <w:pPr>
        <w:snapToGrid w:val="0"/>
        <w:spacing w:beforeLines="50" w:before="180"/>
        <w:rPr>
          <w:rStyle w:val="a8"/>
          <w:rFonts w:ascii="Times New Roman" w:eastAsia="標楷體" w:hAnsi="Times New Roman" w:cs="Times New Roman"/>
        </w:rPr>
      </w:pPr>
      <w:hyperlink r:id="rId12" w:history="1">
        <w:r w:rsidR="0005290A" w:rsidRPr="00987063">
          <w:rPr>
            <w:rStyle w:val="a8"/>
            <w:rFonts w:ascii="Times New Roman" w:eastAsia="標楷體" w:hAnsi="Times New Roman" w:cs="Times New Roman"/>
          </w:rPr>
          <w:t>http://www.investordaily.com.au/markets/38602-cfa-institute-launches-new-esg-guide</w:t>
        </w:r>
      </w:hyperlink>
    </w:p>
    <w:p w:rsidR="0005290A" w:rsidRPr="00987063" w:rsidRDefault="0005290A" w:rsidP="00987063">
      <w:pPr>
        <w:snapToGrid w:val="0"/>
        <w:spacing w:beforeLines="50" w:before="180"/>
        <w:rPr>
          <w:rFonts w:ascii="Times New Roman" w:eastAsia="標楷體" w:hAnsi="Times New Roman" w:cs="Times New Roman"/>
        </w:rPr>
      </w:pPr>
    </w:p>
    <w:p w:rsidR="0005290A" w:rsidRPr="00987063" w:rsidRDefault="0005290A"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這份指南在投資中的環境、社會和管理議題：一份給專業投資人的指南</w:t>
      </w:r>
      <w:proofErr w:type="gramStart"/>
      <w:r w:rsidRPr="00987063">
        <w:rPr>
          <w:rFonts w:ascii="Times New Roman" w:eastAsia="標楷體" w:hAnsi="Times New Roman" w:cs="Times New Roman"/>
        </w:rPr>
        <w:t>─</w:t>
      </w:r>
      <w:proofErr w:type="gramEnd"/>
      <w:r w:rsidRPr="00987063">
        <w:rPr>
          <w:rFonts w:ascii="Times New Roman" w:eastAsia="標楷體" w:hAnsi="Times New Roman" w:cs="Times New Roman"/>
        </w:rPr>
        <w:t>為回應對於</w:t>
      </w:r>
      <w:r w:rsidRPr="00987063">
        <w:rPr>
          <w:rFonts w:ascii="Times New Roman" w:eastAsia="標楷體" w:hAnsi="Times New Roman" w:cs="Times New Roman"/>
        </w:rPr>
        <w:t>ESG</w:t>
      </w:r>
      <w:r w:rsidRPr="00987063">
        <w:rPr>
          <w:rFonts w:ascii="Times New Roman" w:eastAsia="標楷體" w:hAnsi="Times New Roman" w:cs="Times New Roman"/>
        </w:rPr>
        <w:t>議題管理之關注日漸增加的情況，</w:t>
      </w:r>
      <w:r w:rsidRPr="00987063">
        <w:rPr>
          <w:rFonts w:ascii="Times New Roman" w:eastAsia="標楷體" w:hAnsi="Times New Roman" w:cs="Times New Roman"/>
        </w:rPr>
        <w:t>CFA</w:t>
      </w:r>
      <w:r w:rsidRPr="00987063">
        <w:rPr>
          <w:rFonts w:ascii="Times New Roman" w:eastAsia="標楷體" w:hAnsi="Times New Roman" w:cs="Times New Roman"/>
        </w:rPr>
        <w:t>協會建立了此份指南。</w:t>
      </w:r>
    </w:p>
    <w:p w:rsidR="0005290A" w:rsidRPr="00987063" w:rsidRDefault="0005290A"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CFA</w:t>
      </w:r>
      <w:r w:rsidRPr="00987063">
        <w:rPr>
          <w:rFonts w:ascii="Times New Roman" w:eastAsia="標楷體" w:hAnsi="Times New Roman" w:cs="Times New Roman"/>
        </w:rPr>
        <w:t>雪梨協會會長</w:t>
      </w:r>
      <w:r w:rsidRPr="00987063">
        <w:rPr>
          <w:rFonts w:ascii="Times New Roman" w:eastAsia="標楷體" w:hAnsi="Times New Roman" w:cs="Times New Roman"/>
        </w:rPr>
        <w:t xml:space="preserve">Anthony </w:t>
      </w:r>
      <w:proofErr w:type="spellStart"/>
      <w:r w:rsidRPr="00987063">
        <w:rPr>
          <w:rFonts w:ascii="Times New Roman" w:eastAsia="標楷體" w:hAnsi="Times New Roman" w:cs="Times New Roman"/>
        </w:rPr>
        <w:t>Serhan</w:t>
      </w:r>
      <w:proofErr w:type="spellEnd"/>
      <w:r w:rsidRPr="00987063">
        <w:rPr>
          <w:rFonts w:ascii="Times New Roman" w:eastAsia="標楷體" w:hAnsi="Times New Roman" w:cs="Times New Roman"/>
        </w:rPr>
        <w:t>表示：「投資人對於投資中</w:t>
      </w:r>
      <w:r w:rsidRPr="00987063">
        <w:rPr>
          <w:rFonts w:ascii="Times New Roman" w:eastAsia="標楷體" w:hAnsi="Times New Roman" w:cs="Times New Roman"/>
        </w:rPr>
        <w:t>ESG</w:t>
      </w:r>
      <w:r w:rsidRPr="00987063">
        <w:rPr>
          <w:rFonts w:ascii="Times New Roman" w:eastAsia="標楷體" w:hAnsi="Times New Roman" w:cs="Times New Roman"/>
        </w:rPr>
        <w:t>議題的覺察，從能源效率到僱用關係、賄賂與貪污，在過去十年中有大大的進步。」他說：「這些議題如何影響投資管理仍不是很</w:t>
      </w:r>
      <w:proofErr w:type="gramStart"/>
      <w:r w:rsidRPr="00987063">
        <w:rPr>
          <w:rFonts w:ascii="Times New Roman" w:eastAsia="標楷體" w:hAnsi="Times New Roman" w:cs="Times New Roman"/>
        </w:rPr>
        <w:t>清楚，</w:t>
      </w:r>
      <w:proofErr w:type="gramEnd"/>
      <w:r w:rsidRPr="00987063">
        <w:rPr>
          <w:rFonts w:ascii="Times New Roman" w:eastAsia="標楷體" w:hAnsi="Times New Roman" w:cs="Times New Roman"/>
        </w:rPr>
        <w:t>某些迷思的存在很常見。」</w:t>
      </w:r>
    </w:p>
    <w:p w:rsidR="0005290A" w:rsidRPr="00987063" w:rsidRDefault="0005290A" w:rsidP="000570EC">
      <w:pPr>
        <w:snapToGrid w:val="0"/>
        <w:spacing w:beforeLines="50" w:before="180"/>
        <w:ind w:firstLine="480"/>
        <w:rPr>
          <w:rFonts w:ascii="Times New Roman" w:eastAsia="標楷體" w:hAnsi="Times New Roman" w:cs="Times New Roman"/>
        </w:rPr>
      </w:pPr>
      <w:proofErr w:type="spellStart"/>
      <w:r w:rsidRPr="00987063">
        <w:rPr>
          <w:rFonts w:ascii="Times New Roman" w:eastAsia="標楷體" w:hAnsi="Times New Roman" w:cs="Times New Roman"/>
        </w:rPr>
        <w:t>Serhan</w:t>
      </w:r>
      <w:proofErr w:type="spellEnd"/>
      <w:r w:rsidRPr="00987063">
        <w:rPr>
          <w:rFonts w:ascii="Times New Roman" w:eastAsia="標楷體" w:hAnsi="Times New Roman" w:cs="Times New Roman"/>
        </w:rPr>
        <w:t>先生又說：「這份指南提供對於</w:t>
      </w:r>
      <w:r w:rsidRPr="00987063">
        <w:rPr>
          <w:rFonts w:ascii="Times New Roman" w:eastAsia="標楷體" w:hAnsi="Times New Roman" w:cs="Times New Roman"/>
        </w:rPr>
        <w:t>ESG</w:t>
      </w:r>
      <w:r w:rsidRPr="00987063">
        <w:rPr>
          <w:rFonts w:ascii="Times New Roman" w:eastAsia="標楷體" w:hAnsi="Times New Roman" w:cs="Times New Roman"/>
        </w:rPr>
        <w:t>的風險和機會一個非常</w:t>
      </w:r>
      <w:proofErr w:type="gramStart"/>
      <w:r w:rsidRPr="00987063">
        <w:rPr>
          <w:rFonts w:ascii="Times New Roman" w:eastAsia="標楷體" w:hAnsi="Times New Roman" w:cs="Times New Roman"/>
        </w:rPr>
        <w:t>清楚的</w:t>
      </w:r>
      <w:proofErr w:type="gramEnd"/>
      <w:r w:rsidRPr="00987063">
        <w:rPr>
          <w:rFonts w:ascii="Times New Roman" w:eastAsia="標楷體" w:hAnsi="Times New Roman" w:cs="Times New Roman"/>
        </w:rPr>
        <w:t>解釋，揭穿常見迷思並幫助投資者更加了解和對於社會及環境議題做出更好的評估，以進行更好的決策。」</w:t>
      </w:r>
    </w:p>
    <w:p w:rsidR="0005290A" w:rsidRPr="00987063" w:rsidRDefault="0005290A"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CFA</w:t>
      </w:r>
      <w:r w:rsidRPr="00987063">
        <w:rPr>
          <w:rFonts w:ascii="Times New Roman" w:eastAsia="標楷體" w:hAnsi="Times New Roman" w:cs="Times New Roman"/>
        </w:rPr>
        <w:t>協會頒布的聲明中提到，這份指南解釋</w:t>
      </w:r>
      <w:r w:rsidRPr="00987063">
        <w:rPr>
          <w:rFonts w:ascii="Times New Roman" w:eastAsia="標楷體" w:hAnsi="Times New Roman" w:cs="Times New Roman"/>
        </w:rPr>
        <w:t>ESG</w:t>
      </w:r>
      <w:r w:rsidRPr="00987063">
        <w:rPr>
          <w:rFonts w:ascii="Times New Roman" w:eastAsia="標楷體" w:hAnsi="Times New Roman" w:cs="Times New Roman"/>
        </w:rPr>
        <w:t>投資周遭背景和趨勢，並解釋將</w:t>
      </w:r>
      <w:r w:rsidRPr="00987063">
        <w:rPr>
          <w:rFonts w:ascii="Times New Roman" w:eastAsia="標楷體" w:hAnsi="Times New Roman" w:cs="Times New Roman"/>
        </w:rPr>
        <w:t>ESG</w:t>
      </w:r>
      <w:r w:rsidRPr="00987063">
        <w:rPr>
          <w:rFonts w:ascii="Times New Roman" w:eastAsia="標楷體" w:hAnsi="Times New Roman" w:cs="Times New Roman"/>
        </w:rPr>
        <w:t>因子應用到投資組合中時的六個常見迷思。此份報告也探查了目前實踐在投資中考慮</w:t>
      </w:r>
      <w:r w:rsidRPr="00987063">
        <w:rPr>
          <w:rFonts w:ascii="Times New Roman" w:eastAsia="標楷體" w:hAnsi="Times New Roman" w:cs="Times New Roman"/>
        </w:rPr>
        <w:t>ESG</w:t>
      </w:r>
      <w:r w:rsidRPr="00987063">
        <w:rPr>
          <w:rFonts w:ascii="Times New Roman" w:eastAsia="標楷體" w:hAnsi="Times New Roman" w:cs="Times New Roman"/>
        </w:rPr>
        <w:t>議題所遇到的挑戰。</w:t>
      </w:r>
    </w:p>
    <w:p w:rsidR="0005290A" w:rsidRPr="00987063" w:rsidRDefault="0005290A" w:rsidP="000570EC">
      <w:pPr>
        <w:widowControl/>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這份聲明也表示：「在審議中的一個關鍵要點是，系統性地考量</w:t>
      </w:r>
      <w:r w:rsidRPr="00987063">
        <w:rPr>
          <w:rFonts w:ascii="Times New Roman" w:eastAsia="標楷體" w:hAnsi="Times New Roman" w:cs="Times New Roman"/>
        </w:rPr>
        <w:t>ESG</w:t>
      </w:r>
      <w:r w:rsidRPr="00987063">
        <w:rPr>
          <w:rFonts w:ascii="Times New Roman" w:eastAsia="標楷體" w:hAnsi="Times New Roman" w:cs="Times New Roman"/>
        </w:rPr>
        <w:t>議題將很有可能引領更多完整的投資分析和消息更加靈通的投資決策。」</w:t>
      </w:r>
      <w:r w:rsidRPr="00987063">
        <w:rPr>
          <w:rFonts w:ascii="Times New Roman" w:eastAsia="標楷體" w:hAnsi="Times New Roman" w:cs="Times New Roman"/>
        </w:rPr>
        <w:br w:type="page"/>
      </w:r>
    </w:p>
    <w:p w:rsidR="0005290A" w:rsidRPr="00987063" w:rsidRDefault="006D5E6D" w:rsidP="00987063">
      <w:pPr>
        <w:snapToGrid w:val="0"/>
        <w:spacing w:beforeLines="50" w:before="180"/>
        <w:rPr>
          <w:rFonts w:ascii="Times New Roman" w:eastAsia="標楷體" w:hAnsi="Times New Roman" w:cs="Times New Roman"/>
        </w:rPr>
      </w:pPr>
      <w:r>
        <w:rPr>
          <w:rFonts w:ascii="Times New Roman" w:eastAsia="標楷體" w:hAnsi="Times New Roman" w:cs="Times New Roman" w:hint="eastAsia"/>
          <w:b/>
          <w:sz w:val="28"/>
        </w:rPr>
        <w:lastRenderedPageBreak/>
        <w:t>5.</w:t>
      </w:r>
      <w:r w:rsidR="0005290A" w:rsidRPr="006D5E6D">
        <w:rPr>
          <w:rFonts w:ascii="Times New Roman" w:eastAsia="標楷體" w:hAnsi="Times New Roman" w:cs="Times New Roman"/>
          <w:b/>
          <w:sz w:val="28"/>
        </w:rPr>
        <w:t>世界銀行集團退休金計畫接受責任型投資原則</w:t>
      </w:r>
      <w:r w:rsidR="0005290A" w:rsidRPr="00987063">
        <w:rPr>
          <w:rFonts w:ascii="Times New Roman" w:eastAsia="標楷體" w:hAnsi="Times New Roman" w:cs="Times New Roman"/>
        </w:rPr>
        <w:t xml:space="preserve"> (The World Bank</w:t>
      </w:r>
      <w:r w:rsidR="0005290A" w:rsidRPr="00987063">
        <w:rPr>
          <w:rFonts w:ascii="Times New Roman" w:eastAsia="標楷體" w:hAnsi="Times New Roman" w:cs="Times New Roman"/>
        </w:rPr>
        <w:t>，</w:t>
      </w:r>
      <w:r w:rsidR="0005290A" w:rsidRPr="00987063">
        <w:rPr>
          <w:rFonts w:ascii="Times New Roman" w:eastAsia="標楷體" w:hAnsi="Times New Roman" w:cs="Times New Roman"/>
        </w:rPr>
        <w:t>2015/11/25)</w:t>
      </w:r>
    </w:p>
    <w:p w:rsidR="0005290A" w:rsidRPr="00987063" w:rsidRDefault="006D5E6D" w:rsidP="00987063">
      <w:pPr>
        <w:snapToGrid w:val="0"/>
        <w:spacing w:beforeLines="50" w:before="180"/>
        <w:rPr>
          <w:rStyle w:val="a8"/>
          <w:rFonts w:ascii="Times New Roman" w:eastAsia="標楷體" w:hAnsi="Times New Roman" w:cs="Times New Roman"/>
        </w:rPr>
      </w:pPr>
      <w:hyperlink r:id="rId13" w:history="1">
        <w:r w:rsidR="0005290A" w:rsidRPr="00987063">
          <w:rPr>
            <w:rStyle w:val="a8"/>
            <w:rFonts w:ascii="Times New Roman" w:eastAsia="標楷體" w:hAnsi="Times New Roman" w:cs="Times New Roman"/>
          </w:rPr>
          <w:t>http://www.worldbank.org/en/news/press-release/2015/11/25/world-bank-group-pension-plan-signs-on-to-principles-for-responsible-investment</w:t>
        </w:r>
      </w:hyperlink>
    </w:p>
    <w:p w:rsidR="0005290A" w:rsidRPr="00987063" w:rsidRDefault="0005290A" w:rsidP="00987063">
      <w:pPr>
        <w:snapToGrid w:val="0"/>
        <w:spacing w:beforeLines="50" w:before="180"/>
        <w:rPr>
          <w:rFonts w:ascii="Times New Roman" w:eastAsia="標楷體" w:hAnsi="Times New Roman" w:cs="Times New Roman"/>
        </w:rPr>
      </w:pPr>
    </w:p>
    <w:p w:rsidR="0005290A" w:rsidRPr="00987063" w:rsidRDefault="0005290A"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世界銀行集團員工退休和福利計畫今日表示他們決定接受聯合國支持的責任型投資原則（</w:t>
      </w:r>
      <w:r w:rsidRPr="00987063">
        <w:rPr>
          <w:rFonts w:ascii="Times New Roman" w:eastAsia="標楷體" w:hAnsi="Times New Roman" w:cs="Times New Roman"/>
        </w:rPr>
        <w:t>Principles for Responsible Investment</w:t>
      </w:r>
      <w:r w:rsidRPr="00987063">
        <w:rPr>
          <w:rFonts w:ascii="Times New Roman" w:eastAsia="標楷體" w:hAnsi="Times New Roman" w:cs="Times New Roman"/>
        </w:rPr>
        <w:t>，</w:t>
      </w:r>
      <w:r w:rsidRPr="00987063">
        <w:rPr>
          <w:rFonts w:ascii="Times New Roman" w:eastAsia="標楷體" w:hAnsi="Times New Roman" w:cs="Times New Roman"/>
        </w:rPr>
        <w:t>PRI</w:t>
      </w:r>
      <w:r w:rsidRPr="00987063">
        <w:rPr>
          <w:rFonts w:ascii="Times New Roman" w:eastAsia="標楷體" w:hAnsi="Times New Roman" w:cs="Times New Roman"/>
        </w:rPr>
        <w:t>）。責任型投資原則被視為投資人整合環境、社會和治理（</w:t>
      </w:r>
      <w:r w:rsidRPr="00987063">
        <w:rPr>
          <w:rFonts w:ascii="Times New Roman" w:eastAsia="標楷體" w:hAnsi="Times New Roman" w:cs="Times New Roman"/>
        </w:rPr>
        <w:t>environmental, social and governance</w:t>
      </w:r>
      <w:r w:rsidRPr="00987063">
        <w:rPr>
          <w:rFonts w:ascii="Times New Roman" w:eastAsia="標楷體" w:hAnsi="Times New Roman" w:cs="Times New Roman"/>
        </w:rPr>
        <w:t>，</w:t>
      </w:r>
      <w:r w:rsidRPr="00987063">
        <w:rPr>
          <w:rFonts w:ascii="Times New Roman" w:eastAsia="標楷體" w:hAnsi="Times New Roman" w:cs="Times New Roman"/>
        </w:rPr>
        <w:t>ESG</w:t>
      </w:r>
      <w:r w:rsidRPr="00987063">
        <w:rPr>
          <w:rFonts w:ascii="Times New Roman" w:eastAsia="標楷體" w:hAnsi="Times New Roman" w:cs="Times New Roman"/>
        </w:rPr>
        <w:t>）</w:t>
      </w:r>
      <w:proofErr w:type="gramStart"/>
      <w:r w:rsidRPr="00987063">
        <w:rPr>
          <w:rFonts w:ascii="Times New Roman" w:eastAsia="標楷體" w:hAnsi="Times New Roman" w:cs="Times New Roman"/>
        </w:rPr>
        <w:t>考量面於他們</w:t>
      </w:r>
      <w:proofErr w:type="gramEnd"/>
      <w:r w:rsidRPr="00987063">
        <w:rPr>
          <w:rFonts w:ascii="Times New Roman" w:eastAsia="標楷體" w:hAnsi="Times New Roman" w:cs="Times New Roman"/>
        </w:rPr>
        <w:t>投資執行和個人策略的領導性全球網路。</w:t>
      </w:r>
    </w:p>
    <w:p w:rsidR="0005290A" w:rsidRPr="00987063" w:rsidRDefault="0005290A"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世界銀行集團首席財務長和退休金財政委員會主席</w:t>
      </w:r>
      <w:r w:rsidRPr="00987063">
        <w:rPr>
          <w:rFonts w:ascii="Times New Roman" w:eastAsia="標楷體" w:hAnsi="Times New Roman" w:cs="Times New Roman"/>
        </w:rPr>
        <w:t xml:space="preserve">Bertrand </w:t>
      </w:r>
      <w:proofErr w:type="spellStart"/>
      <w:r w:rsidRPr="00987063">
        <w:rPr>
          <w:rFonts w:ascii="Times New Roman" w:eastAsia="標楷體" w:hAnsi="Times New Roman" w:cs="Times New Roman"/>
        </w:rPr>
        <w:t>Badre</w:t>
      </w:r>
      <w:proofErr w:type="spellEnd"/>
      <w:r w:rsidRPr="00987063">
        <w:rPr>
          <w:rFonts w:ascii="Times New Roman" w:eastAsia="標楷體" w:hAnsi="Times New Roman" w:cs="Times New Roman"/>
        </w:rPr>
        <w:t>表示：「我們非常樂意接受我們的退休金計畫踏出這樣正面又具革命性的一步。」「身為長期投資者，我們生來關注</w:t>
      </w:r>
      <w:r w:rsidRPr="00987063">
        <w:rPr>
          <w:rFonts w:ascii="Times New Roman" w:eastAsia="標楷體" w:hAnsi="Times New Roman" w:cs="Times New Roman"/>
        </w:rPr>
        <w:t>ESG</w:t>
      </w:r>
      <w:r w:rsidRPr="00987063">
        <w:rPr>
          <w:rFonts w:ascii="Times New Roman" w:eastAsia="標楷體" w:hAnsi="Times New Roman" w:cs="Times New Roman"/>
        </w:rPr>
        <w:t>因素並負責投資上的管理工作，因此我們將接受責任型投資原則視為在支持長期永續投資努力上，一個謹慎、合乎邏輯的作為。」</w:t>
      </w:r>
    </w:p>
    <w:p w:rsidR="0005290A" w:rsidRPr="00987063" w:rsidRDefault="0005290A"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國際投資人的責任型投資原則網路一起努力，實施一個可以提供整合</w:t>
      </w:r>
      <w:r w:rsidRPr="00987063">
        <w:rPr>
          <w:rFonts w:ascii="Times New Roman" w:eastAsia="標楷體" w:hAnsi="Times New Roman" w:cs="Times New Roman"/>
        </w:rPr>
        <w:t>ESG</w:t>
      </w:r>
      <w:r w:rsidRPr="00987063">
        <w:rPr>
          <w:rFonts w:ascii="Times New Roman" w:eastAsia="標楷體" w:hAnsi="Times New Roman" w:cs="Times New Roman"/>
        </w:rPr>
        <w:t>提要素於投資分析和與投資人信託責任結盟的所有權慣例之框架。此退休金計畫會連同裡面的信託責任實施條例於此計畫的財務資產管理中。</w:t>
      </w:r>
    </w:p>
    <w:p w:rsidR="0005290A" w:rsidRPr="00987063" w:rsidRDefault="0005290A"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加入</w:t>
      </w:r>
      <w:r w:rsidRPr="00987063">
        <w:rPr>
          <w:rFonts w:ascii="Times New Roman" w:eastAsia="標楷體" w:hAnsi="Times New Roman" w:cs="Times New Roman"/>
        </w:rPr>
        <w:t>PRI</w:t>
      </w:r>
      <w:r w:rsidRPr="00987063">
        <w:rPr>
          <w:rFonts w:ascii="Times New Roman" w:eastAsia="標楷體" w:hAnsi="Times New Roman" w:cs="Times New Roman"/>
        </w:rPr>
        <w:t>的決定歷經整整一年的審查過程，並將會讓計畫與有志一同的夥伴一起擴大此計畫之承諾在這塊重要領域的範圍。</w:t>
      </w:r>
    </w:p>
    <w:p w:rsidR="0005290A" w:rsidRPr="00987063" w:rsidRDefault="0005290A"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這個計劃將會一次又一次審核和評估其在組織中牽連之事務。</w:t>
      </w:r>
    </w:p>
    <w:p w:rsidR="0005290A" w:rsidRPr="00987063" w:rsidRDefault="0005290A" w:rsidP="00987063">
      <w:pPr>
        <w:snapToGrid w:val="0"/>
        <w:spacing w:beforeLines="50" w:before="180"/>
        <w:rPr>
          <w:rFonts w:ascii="Times New Roman" w:eastAsia="標楷體" w:hAnsi="Times New Roman" w:cs="Times New Roman"/>
        </w:rPr>
      </w:pPr>
    </w:p>
    <w:p w:rsidR="0005290A" w:rsidRPr="00987063" w:rsidRDefault="0005290A" w:rsidP="00987063">
      <w:pPr>
        <w:snapToGrid w:val="0"/>
        <w:spacing w:beforeLines="50" w:before="180"/>
        <w:rPr>
          <w:rFonts w:ascii="Times New Roman" w:eastAsia="標楷體" w:hAnsi="Times New Roman" w:cs="Times New Roman"/>
        </w:rPr>
      </w:pPr>
    </w:p>
    <w:p w:rsidR="0005290A" w:rsidRPr="00987063" w:rsidRDefault="0005290A" w:rsidP="00987063">
      <w:pPr>
        <w:snapToGrid w:val="0"/>
        <w:spacing w:beforeLines="50" w:before="180"/>
        <w:rPr>
          <w:rFonts w:ascii="Times New Roman" w:eastAsia="標楷體" w:hAnsi="Times New Roman" w:cs="Times New Roman"/>
        </w:rPr>
      </w:pPr>
    </w:p>
    <w:p w:rsidR="0005290A" w:rsidRPr="00987063" w:rsidRDefault="0005290A" w:rsidP="00987063">
      <w:pPr>
        <w:widowControl/>
        <w:snapToGrid w:val="0"/>
        <w:spacing w:beforeLines="50" w:before="180"/>
        <w:rPr>
          <w:rFonts w:ascii="Times New Roman" w:eastAsia="標楷體" w:hAnsi="Times New Roman" w:cs="Times New Roman"/>
        </w:rPr>
      </w:pPr>
      <w:r w:rsidRPr="00987063">
        <w:rPr>
          <w:rFonts w:ascii="Times New Roman" w:eastAsia="標楷體" w:hAnsi="Times New Roman" w:cs="Times New Roman"/>
        </w:rPr>
        <w:br w:type="page"/>
      </w:r>
    </w:p>
    <w:p w:rsidR="005A7FE5" w:rsidRPr="00987063" w:rsidRDefault="006D5E6D" w:rsidP="00987063">
      <w:pPr>
        <w:snapToGrid w:val="0"/>
        <w:spacing w:beforeLines="50" w:before="180"/>
        <w:rPr>
          <w:rFonts w:ascii="Times New Roman" w:eastAsia="標楷體" w:hAnsi="Times New Roman" w:cs="Times New Roman"/>
        </w:rPr>
      </w:pPr>
      <w:r>
        <w:rPr>
          <w:rFonts w:ascii="Times New Roman" w:eastAsia="標楷體" w:hAnsi="Times New Roman" w:cs="Times New Roman" w:hint="eastAsia"/>
          <w:b/>
          <w:sz w:val="28"/>
        </w:rPr>
        <w:lastRenderedPageBreak/>
        <w:t>6</w:t>
      </w:r>
      <w:r w:rsidRPr="006D5E6D">
        <w:rPr>
          <w:rFonts w:ascii="Times New Roman" w:eastAsia="標楷體" w:hAnsi="Times New Roman" w:cs="Times New Roman" w:hint="eastAsia"/>
          <w:b/>
          <w:sz w:val="28"/>
        </w:rPr>
        <w:t>.</w:t>
      </w:r>
      <w:r w:rsidR="005A7FE5" w:rsidRPr="006D5E6D">
        <w:rPr>
          <w:rFonts w:ascii="Times New Roman" w:eastAsia="標楷體" w:hAnsi="Times New Roman" w:cs="Times New Roman"/>
          <w:b/>
          <w:sz w:val="28"/>
        </w:rPr>
        <w:t>能源技術領先的公司齊力支持</w:t>
      </w:r>
      <w:proofErr w:type="gramStart"/>
      <w:r w:rsidR="005A7FE5" w:rsidRPr="006D5E6D">
        <w:rPr>
          <w:rFonts w:ascii="Times New Roman" w:eastAsia="標楷體" w:hAnsi="Times New Roman" w:cs="Times New Roman"/>
          <w:b/>
          <w:sz w:val="28"/>
        </w:rPr>
        <w:t>”</w:t>
      </w:r>
      <w:proofErr w:type="gramEnd"/>
      <w:r w:rsidR="005A7FE5" w:rsidRPr="006D5E6D">
        <w:rPr>
          <w:rFonts w:ascii="Times New Roman" w:eastAsia="標楷體" w:hAnsi="Times New Roman" w:cs="Times New Roman"/>
          <w:b/>
          <w:sz w:val="28"/>
        </w:rPr>
        <w:t>倍增</w:t>
      </w:r>
      <w:proofErr w:type="gramStart"/>
      <w:r w:rsidR="005A7FE5" w:rsidRPr="006D5E6D">
        <w:rPr>
          <w:rFonts w:ascii="Times New Roman" w:eastAsia="標楷體" w:hAnsi="Times New Roman" w:cs="Times New Roman"/>
          <w:b/>
          <w:sz w:val="28"/>
        </w:rPr>
        <w:t>”</w:t>
      </w:r>
      <w:proofErr w:type="gramEnd"/>
      <w:r w:rsidR="005A7FE5" w:rsidRPr="006D5E6D">
        <w:rPr>
          <w:rFonts w:ascii="Times New Roman" w:eastAsia="標楷體" w:hAnsi="Times New Roman" w:cs="Times New Roman"/>
          <w:b/>
          <w:sz w:val="28"/>
        </w:rPr>
        <w:t>的再生能源能力</w:t>
      </w:r>
      <w:r w:rsidR="0005290A" w:rsidRPr="00987063">
        <w:rPr>
          <w:rFonts w:ascii="Times New Roman" w:eastAsia="標楷體" w:hAnsi="Times New Roman" w:cs="Times New Roman"/>
        </w:rPr>
        <w:t xml:space="preserve"> </w:t>
      </w:r>
      <w:r w:rsidR="005A7FE5" w:rsidRPr="00987063">
        <w:rPr>
          <w:rFonts w:ascii="Times New Roman" w:eastAsia="標楷體" w:hAnsi="Times New Roman" w:cs="Times New Roman"/>
        </w:rPr>
        <w:t>(</w:t>
      </w:r>
      <w:proofErr w:type="spellStart"/>
      <w:r w:rsidR="005A7FE5" w:rsidRPr="00987063">
        <w:rPr>
          <w:rFonts w:ascii="Times New Roman" w:eastAsia="標楷體" w:hAnsi="Times New Roman" w:cs="Times New Roman"/>
        </w:rPr>
        <w:t>businessGreen</w:t>
      </w:r>
      <w:proofErr w:type="spellEnd"/>
      <w:r w:rsidR="005A7FE5" w:rsidRPr="00987063">
        <w:rPr>
          <w:rFonts w:ascii="Times New Roman" w:eastAsia="標楷體" w:hAnsi="Times New Roman" w:cs="Times New Roman"/>
        </w:rPr>
        <w:t>，</w:t>
      </w:r>
      <w:r w:rsidR="005A7FE5" w:rsidRPr="00987063">
        <w:rPr>
          <w:rFonts w:ascii="Times New Roman" w:eastAsia="標楷體" w:hAnsi="Times New Roman" w:cs="Times New Roman"/>
        </w:rPr>
        <w:t>2015/11/20)</w:t>
      </w:r>
    </w:p>
    <w:p w:rsidR="005A7FE5" w:rsidRPr="00987063" w:rsidRDefault="006D5E6D" w:rsidP="00987063">
      <w:pPr>
        <w:snapToGrid w:val="0"/>
        <w:spacing w:beforeLines="50" w:before="180"/>
        <w:rPr>
          <w:rFonts w:ascii="Times New Roman" w:eastAsia="標楷體" w:hAnsi="Times New Roman" w:cs="Times New Roman"/>
        </w:rPr>
      </w:pPr>
      <w:hyperlink r:id="rId14" w:history="1">
        <w:r w:rsidR="005A7FE5" w:rsidRPr="00987063">
          <w:rPr>
            <w:rStyle w:val="a8"/>
            <w:rFonts w:ascii="Times New Roman" w:eastAsia="標楷體" w:hAnsi="Times New Roman" w:cs="Times New Roman"/>
          </w:rPr>
          <w:t>http://www.businessgreen.com/bg/news/2435495/leading-energy-firms-to-support-near-doubling-of-renewable-capacity</w:t>
        </w:r>
      </w:hyperlink>
    </w:p>
    <w:p w:rsidR="005A7FE5" w:rsidRPr="00987063" w:rsidRDefault="0005290A"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十六</w:t>
      </w:r>
      <w:proofErr w:type="gramStart"/>
      <w:r w:rsidRPr="00987063">
        <w:rPr>
          <w:rFonts w:ascii="Times New Roman" w:eastAsia="標楷體" w:hAnsi="Times New Roman" w:cs="Times New Roman"/>
        </w:rPr>
        <w:t>個</w:t>
      </w:r>
      <w:proofErr w:type="gramEnd"/>
      <w:r w:rsidRPr="00987063">
        <w:rPr>
          <w:rFonts w:ascii="Times New Roman" w:eastAsia="標楷體" w:hAnsi="Times New Roman" w:cs="Times New Roman"/>
        </w:rPr>
        <w:t>在能源技術領先世界的公司</w:t>
      </w:r>
      <w:r w:rsidR="005A7FE5" w:rsidRPr="00987063">
        <w:rPr>
          <w:rFonts w:ascii="Times New Roman" w:eastAsia="標楷體" w:hAnsi="Times New Roman" w:cs="Times New Roman"/>
        </w:rPr>
        <w:t>包括：</w:t>
      </w:r>
      <w:r w:rsidR="005A7FE5" w:rsidRPr="00987063">
        <w:rPr>
          <w:rFonts w:ascii="Times New Roman" w:eastAsia="標楷體" w:hAnsi="Times New Roman" w:cs="Times New Roman"/>
        </w:rPr>
        <w:t>DF</w:t>
      </w:r>
      <w:r w:rsidR="005A7FE5" w:rsidRPr="00987063">
        <w:rPr>
          <w:rFonts w:ascii="Times New Roman" w:eastAsia="標楷體" w:hAnsi="Times New Roman" w:cs="Times New Roman"/>
        </w:rPr>
        <w:t>、</w:t>
      </w:r>
      <w:r w:rsidR="005A7FE5" w:rsidRPr="00987063">
        <w:rPr>
          <w:rFonts w:ascii="Times New Roman" w:eastAsia="標楷體" w:hAnsi="Times New Roman" w:cs="Times New Roman"/>
        </w:rPr>
        <w:t>EDP</w:t>
      </w:r>
      <w:r w:rsidR="005A7FE5" w:rsidRPr="00987063">
        <w:rPr>
          <w:rFonts w:ascii="Times New Roman" w:eastAsia="標楷體" w:hAnsi="Times New Roman" w:cs="Times New Roman"/>
        </w:rPr>
        <w:t>、施耐德電機及</w:t>
      </w:r>
      <w:r w:rsidR="005A7FE5" w:rsidRPr="00987063">
        <w:rPr>
          <w:rFonts w:ascii="Times New Roman" w:eastAsia="標楷體" w:hAnsi="Times New Roman" w:cs="Times New Roman"/>
        </w:rPr>
        <w:t>Vestas</w:t>
      </w:r>
      <w:r w:rsidR="00EE7922" w:rsidRPr="00987063">
        <w:rPr>
          <w:rFonts w:ascii="Times New Roman" w:eastAsia="標楷體" w:hAnsi="Times New Roman" w:cs="Times New Roman"/>
        </w:rPr>
        <w:t>…</w:t>
      </w:r>
      <w:r w:rsidR="00EE7922" w:rsidRPr="00987063">
        <w:rPr>
          <w:rFonts w:ascii="Times New Roman" w:eastAsia="標楷體" w:hAnsi="Times New Roman" w:cs="Times New Roman"/>
        </w:rPr>
        <w:t>等陸續推出</w:t>
      </w:r>
      <w:r w:rsidRPr="00987063">
        <w:rPr>
          <w:rFonts w:ascii="Times New Roman" w:eastAsia="標楷體" w:hAnsi="Times New Roman" w:cs="Times New Roman"/>
        </w:rPr>
        <w:t>「</w:t>
      </w:r>
      <w:r w:rsidR="00EE7922" w:rsidRPr="00987063">
        <w:rPr>
          <w:rFonts w:ascii="Times New Roman" w:eastAsia="標楷體" w:hAnsi="Times New Roman" w:cs="Times New Roman"/>
        </w:rPr>
        <w:t>擴大再生能源的行動計劃</w:t>
      </w:r>
      <w:r w:rsidRPr="00987063">
        <w:rPr>
          <w:rFonts w:ascii="Times New Roman" w:eastAsia="標楷體" w:hAnsi="Times New Roman" w:cs="Times New Roman"/>
        </w:rPr>
        <w:t>」</w:t>
      </w:r>
      <w:r w:rsidR="00EE7922" w:rsidRPr="00987063">
        <w:rPr>
          <w:rFonts w:ascii="Times New Roman" w:eastAsia="標楷體" w:hAnsi="Times New Roman" w:cs="Times New Roman"/>
        </w:rPr>
        <w:t>，期望至</w:t>
      </w:r>
      <w:r w:rsidR="00EE7922" w:rsidRPr="00987063">
        <w:rPr>
          <w:rFonts w:ascii="Times New Roman" w:eastAsia="標楷體" w:hAnsi="Times New Roman" w:cs="Times New Roman"/>
        </w:rPr>
        <w:t>2025</w:t>
      </w:r>
      <w:r w:rsidR="00EE7922" w:rsidRPr="00987063">
        <w:rPr>
          <w:rFonts w:ascii="Times New Roman" w:eastAsia="標楷體" w:hAnsi="Times New Roman" w:cs="Times New Roman"/>
        </w:rPr>
        <w:t>年能有</w:t>
      </w:r>
      <w:r w:rsidR="00EE7922" w:rsidRPr="00987063">
        <w:rPr>
          <w:rFonts w:ascii="Times New Roman" w:eastAsia="標楷體" w:hAnsi="Times New Roman" w:cs="Times New Roman"/>
        </w:rPr>
        <w:t>1.5TW</w:t>
      </w:r>
      <w:r w:rsidR="00EE7922" w:rsidRPr="00987063">
        <w:rPr>
          <w:rFonts w:ascii="Times New Roman" w:eastAsia="標楷體" w:hAnsi="Times New Roman" w:cs="Times New Roman"/>
        </w:rPr>
        <w:t>的額外容量部署。</w:t>
      </w:r>
    </w:p>
    <w:p w:rsidR="005A7FE5" w:rsidRPr="00987063" w:rsidRDefault="00EE7922"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企業在日前表示目前尚需要消除一些障礙，能夠讓清潔能源可以大規模部屬，而這也有助於減少能源部門的溫室氣體排放</w:t>
      </w:r>
      <w:r w:rsidR="00CD1594" w:rsidRPr="00987063">
        <w:rPr>
          <w:rFonts w:ascii="Times New Roman" w:eastAsia="標楷體" w:hAnsi="Times New Roman" w:cs="Times New Roman"/>
        </w:rPr>
        <w:t>，</w:t>
      </w:r>
      <w:r w:rsidRPr="00987063">
        <w:rPr>
          <w:rFonts w:ascii="Times New Roman" w:eastAsia="標楷體" w:hAnsi="Times New Roman" w:cs="Times New Roman"/>
        </w:rPr>
        <w:t>以</w:t>
      </w:r>
      <w:r w:rsidR="00CD1594" w:rsidRPr="00987063">
        <w:rPr>
          <w:rFonts w:ascii="Times New Roman" w:eastAsia="標楷體" w:hAnsi="Times New Roman" w:cs="Times New Roman"/>
        </w:rPr>
        <w:t>減緩</w:t>
      </w:r>
      <w:r w:rsidRPr="00987063">
        <w:rPr>
          <w:rFonts w:ascii="Times New Roman" w:eastAsia="標楷體" w:hAnsi="Times New Roman" w:cs="Times New Roman"/>
        </w:rPr>
        <w:t>全球暖化</w:t>
      </w:r>
      <w:r w:rsidR="00CD1594" w:rsidRPr="00987063">
        <w:rPr>
          <w:rFonts w:ascii="Times New Roman" w:eastAsia="標楷體" w:hAnsi="Times New Roman" w:cs="Times New Roman"/>
        </w:rPr>
        <w:t>。</w:t>
      </w:r>
    </w:p>
    <w:p w:rsidR="00CD1594" w:rsidRPr="00987063" w:rsidRDefault="00CD1594"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該計畫為世界永續發展協會</w:t>
      </w:r>
      <w:r w:rsidRPr="00987063">
        <w:rPr>
          <w:rFonts w:ascii="Times New Roman" w:eastAsia="標楷體" w:hAnsi="Times New Roman" w:cs="Times New Roman"/>
        </w:rPr>
        <w:t>(WBCSD)</w:t>
      </w:r>
      <w:r w:rsidRPr="00987063">
        <w:rPr>
          <w:rFonts w:ascii="Times New Roman" w:eastAsia="標楷體" w:hAnsi="Times New Roman" w:cs="Times New Roman"/>
        </w:rPr>
        <w:t>所發起的低碳科技夥伴倡議</w:t>
      </w:r>
      <w:r w:rsidRPr="00987063">
        <w:rPr>
          <w:rFonts w:ascii="Times New Roman" w:eastAsia="標楷體" w:hAnsi="Times New Roman" w:cs="Times New Roman"/>
        </w:rPr>
        <w:t>(Low Carbon. Technology Partnerships initiative, </w:t>
      </w:r>
      <w:proofErr w:type="spellStart"/>
      <w:r w:rsidRPr="00987063">
        <w:rPr>
          <w:rFonts w:ascii="Times New Roman" w:eastAsia="標楷體" w:hAnsi="Times New Roman" w:cs="Times New Roman"/>
        </w:rPr>
        <w:t>LCTPi</w:t>
      </w:r>
      <w:proofErr w:type="spellEnd"/>
      <w:r w:rsidRPr="00987063">
        <w:rPr>
          <w:rFonts w:ascii="Times New Roman" w:eastAsia="標楷體" w:hAnsi="Times New Roman" w:cs="Times New Roman"/>
        </w:rPr>
        <w:t>)</w:t>
      </w:r>
      <w:r w:rsidRPr="00987063">
        <w:rPr>
          <w:rFonts w:ascii="Times New Roman" w:eastAsia="標楷體" w:hAnsi="Times New Roman" w:cs="Times New Roman"/>
        </w:rPr>
        <w:t>集結企業加速大型清潔技術項目開發及部屬的一部分。</w:t>
      </w:r>
    </w:p>
    <w:p w:rsidR="00CD1594" w:rsidRPr="00987063" w:rsidRDefault="00CD1594"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該計畫具體的措施包括：提高再生能源與</w:t>
      </w:r>
      <w:proofErr w:type="gramStart"/>
      <w:r w:rsidRPr="00987063">
        <w:rPr>
          <w:rFonts w:ascii="Times New Roman" w:eastAsia="標楷體" w:hAnsi="Times New Roman" w:cs="Times New Roman"/>
        </w:rPr>
        <w:t>電網間的連結</w:t>
      </w:r>
      <w:proofErr w:type="gramEnd"/>
      <w:r w:rsidRPr="00987063">
        <w:rPr>
          <w:rFonts w:ascii="Times New Roman" w:eastAsia="標楷體" w:hAnsi="Times New Roman" w:cs="Times New Roman"/>
        </w:rPr>
        <w:t>、鼓勵綠色債券融資計劃能夠更加透明以降低風險、與再生能源企業合作，促進清潔能源的採購以及加速</w:t>
      </w:r>
      <w:proofErr w:type="gramStart"/>
      <w:r w:rsidRPr="00987063">
        <w:rPr>
          <w:rFonts w:ascii="Times New Roman" w:eastAsia="標楷體" w:hAnsi="Times New Roman" w:cs="Times New Roman"/>
        </w:rPr>
        <w:t>低碳微電網</w:t>
      </w:r>
      <w:proofErr w:type="gramEnd"/>
      <w:r w:rsidRPr="00987063">
        <w:rPr>
          <w:rFonts w:ascii="Times New Roman" w:eastAsia="標楷體" w:hAnsi="Times New Roman" w:cs="Times New Roman"/>
        </w:rPr>
        <w:t>(micro grids)</w:t>
      </w:r>
      <w:r w:rsidR="000F246B" w:rsidRPr="00987063">
        <w:rPr>
          <w:rFonts w:ascii="Times New Roman" w:eastAsia="標楷體" w:hAnsi="Times New Roman" w:cs="Times New Roman"/>
        </w:rPr>
        <w:t>的發展並在偏遠地區推廣清潔能源的使用。</w:t>
      </w:r>
    </w:p>
    <w:p w:rsidR="000F246B" w:rsidRPr="00987063" w:rsidRDefault="000F246B"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目前全球共用</w:t>
      </w:r>
      <w:r w:rsidRPr="00987063">
        <w:rPr>
          <w:rFonts w:ascii="Times New Roman" w:eastAsia="標楷體" w:hAnsi="Times New Roman" w:cs="Times New Roman"/>
        </w:rPr>
        <w:t>1.94TW</w:t>
      </w:r>
      <w:r w:rsidR="0005290A" w:rsidRPr="00987063">
        <w:rPr>
          <w:rFonts w:ascii="Times New Roman" w:eastAsia="標楷體" w:hAnsi="Times New Roman" w:cs="Times New Roman"/>
        </w:rPr>
        <w:t>的再生能源。為了滿</w:t>
      </w:r>
      <w:r w:rsidRPr="00987063">
        <w:rPr>
          <w:rFonts w:ascii="Times New Roman" w:eastAsia="標楷體" w:hAnsi="Times New Roman" w:cs="Times New Roman"/>
        </w:rPr>
        <w:t>足國際能源機構</w:t>
      </w:r>
      <w:r w:rsidR="0005290A" w:rsidRPr="00987063">
        <w:rPr>
          <w:rFonts w:ascii="Times New Roman" w:eastAsia="標楷體" w:hAnsi="Times New Roman" w:cs="Times New Roman"/>
        </w:rPr>
        <w:t>先前</w:t>
      </w:r>
      <w:r w:rsidRPr="00987063">
        <w:rPr>
          <w:rFonts w:ascii="Times New Roman" w:eastAsia="標楷體" w:hAnsi="Times New Roman" w:cs="Times New Roman"/>
        </w:rPr>
        <w:t>所預測</w:t>
      </w:r>
      <w:r w:rsidRPr="00987063">
        <w:rPr>
          <w:rFonts w:ascii="Times New Roman" w:eastAsia="標楷體" w:hAnsi="Times New Roman" w:cs="Times New Roman"/>
        </w:rPr>
        <w:t>2C</w:t>
      </w:r>
      <w:r w:rsidRPr="00987063">
        <w:rPr>
          <w:rFonts w:ascii="Times New Roman" w:eastAsia="標楷體" w:hAnsi="Times New Roman" w:cs="Times New Roman"/>
        </w:rPr>
        <w:t>的途徑，在</w:t>
      </w:r>
      <w:r w:rsidRPr="00987063">
        <w:rPr>
          <w:rFonts w:ascii="Times New Roman" w:eastAsia="標楷體" w:hAnsi="Times New Roman" w:cs="Times New Roman"/>
        </w:rPr>
        <w:t>2025</w:t>
      </w:r>
      <w:r w:rsidRPr="00987063">
        <w:rPr>
          <w:rFonts w:ascii="Times New Roman" w:eastAsia="標楷體" w:hAnsi="Times New Roman" w:cs="Times New Roman"/>
        </w:rPr>
        <w:t>年必須擴展清潔能源部屬到</w:t>
      </w:r>
      <w:r w:rsidRPr="00987063">
        <w:rPr>
          <w:rFonts w:ascii="Times New Roman" w:eastAsia="標楷體" w:hAnsi="Times New Roman" w:cs="Times New Roman"/>
        </w:rPr>
        <w:t>3.49TW</w:t>
      </w:r>
      <w:r w:rsidRPr="00987063">
        <w:rPr>
          <w:rFonts w:ascii="Times New Roman" w:eastAsia="標楷體" w:hAnsi="Times New Roman" w:cs="Times New Roman"/>
        </w:rPr>
        <w:t>，至</w:t>
      </w:r>
      <w:r w:rsidRPr="00987063">
        <w:rPr>
          <w:rFonts w:ascii="Times New Roman" w:eastAsia="標楷體" w:hAnsi="Times New Roman" w:cs="Times New Roman"/>
        </w:rPr>
        <w:t>2030</w:t>
      </w:r>
      <w:r w:rsidRPr="00987063">
        <w:rPr>
          <w:rFonts w:ascii="Times New Roman" w:eastAsia="標楷體" w:hAnsi="Times New Roman" w:cs="Times New Roman"/>
        </w:rPr>
        <w:t>年則需到</w:t>
      </w:r>
      <w:r w:rsidRPr="00987063">
        <w:rPr>
          <w:rFonts w:ascii="Times New Roman" w:eastAsia="標楷體" w:hAnsi="Times New Roman" w:cs="Times New Roman"/>
        </w:rPr>
        <w:t>4.53TW</w:t>
      </w:r>
      <w:r w:rsidRPr="00987063">
        <w:rPr>
          <w:rFonts w:ascii="Times New Roman" w:eastAsia="標楷體" w:hAnsi="Times New Roman" w:cs="Times New Roman"/>
        </w:rPr>
        <w:t>。根據</w:t>
      </w:r>
      <w:r w:rsidRPr="00987063">
        <w:rPr>
          <w:rFonts w:ascii="Times New Roman" w:eastAsia="標楷體" w:hAnsi="Times New Roman" w:cs="Times New Roman"/>
        </w:rPr>
        <w:t>WBCSD</w:t>
      </w:r>
      <w:r w:rsidRPr="00987063">
        <w:rPr>
          <w:rFonts w:ascii="Times New Roman" w:eastAsia="標楷體" w:hAnsi="Times New Roman" w:cs="Times New Roman"/>
        </w:rPr>
        <w:t>統計，這將會創造超過</w:t>
      </w:r>
      <w:r w:rsidRPr="00987063">
        <w:rPr>
          <w:rFonts w:ascii="Times New Roman" w:eastAsia="標楷體" w:hAnsi="Times New Roman" w:cs="Times New Roman"/>
        </w:rPr>
        <w:t>3</w:t>
      </w:r>
      <w:r w:rsidR="00CB6E35" w:rsidRPr="00987063">
        <w:rPr>
          <w:rFonts w:ascii="Times New Roman" w:eastAsia="標楷體" w:hAnsi="Times New Roman" w:cs="Times New Roman"/>
        </w:rPr>
        <w:t>.</w:t>
      </w:r>
      <w:r w:rsidRPr="00987063">
        <w:rPr>
          <w:rFonts w:ascii="Times New Roman" w:eastAsia="標楷體" w:hAnsi="Times New Roman" w:cs="Times New Roman"/>
        </w:rPr>
        <w:t>5</w:t>
      </w:r>
      <w:r w:rsidR="00CB6E35" w:rsidRPr="00987063">
        <w:rPr>
          <w:rFonts w:ascii="Times New Roman" w:eastAsia="標楷體" w:hAnsi="Times New Roman" w:cs="Times New Roman"/>
        </w:rPr>
        <w:t>兆</w:t>
      </w:r>
      <w:r w:rsidRPr="00987063">
        <w:rPr>
          <w:rFonts w:ascii="Times New Roman" w:eastAsia="標楷體" w:hAnsi="Times New Roman" w:cs="Times New Roman"/>
        </w:rPr>
        <w:t>美</w:t>
      </w:r>
      <w:r w:rsidR="00CB6E35" w:rsidRPr="00987063">
        <w:rPr>
          <w:rFonts w:ascii="Times New Roman" w:eastAsia="標楷體" w:hAnsi="Times New Roman" w:cs="Times New Roman"/>
        </w:rPr>
        <w:t>元</w:t>
      </w:r>
      <w:r w:rsidRPr="00987063">
        <w:rPr>
          <w:rFonts w:ascii="Times New Roman" w:eastAsia="標楷體" w:hAnsi="Times New Roman" w:cs="Times New Roman"/>
        </w:rPr>
        <w:t>的投資金額及</w:t>
      </w:r>
      <w:r w:rsidRPr="00987063">
        <w:rPr>
          <w:rFonts w:ascii="Times New Roman" w:eastAsia="標楷體" w:hAnsi="Times New Roman" w:cs="Times New Roman"/>
        </w:rPr>
        <w:t>15</w:t>
      </w:r>
      <w:r w:rsidR="00CB6E35" w:rsidRPr="00987063">
        <w:rPr>
          <w:rFonts w:ascii="Times New Roman" w:eastAsia="標楷體" w:hAnsi="Times New Roman" w:cs="Times New Roman"/>
        </w:rPr>
        <w:t>00</w:t>
      </w:r>
      <w:r w:rsidRPr="00987063">
        <w:rPr>
          <w:rFonts w:ascii="Times New Roman" w:eastAsia="標楷體" w:hAnsi="Times New Roman" w:cs="Times New Roman"/>
        </w:rPr>
        <w:t>萬個工作機會。</w:t>
      </w:r>
    </w:p>
    <w:p w:rsidR="00CD1594" w:rsidRPr="00987063" w:rsidRDefault="00CB6E35"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WBCSD</w:t>
      </w:r>
      <w:r w:rsidRPr="00987063">
        <w:rPr>
          <w:rFonts w:ascii="Times New Roman" w:eastAsia="標楷體" w:hAnsi="Times New Roman" w:cs="Times New Roman"/>
        </w:rPr>
        <w:t>總裁</w:t>
      </w:r>
      <w:r w:rsidRPr="00987063">
        <w:rPr>
          <w:rFonts w:ascii="Times New Roman" w:eastAsia="標楷體" w:hAnsi="Times New Roman" w:cs="Times New Roman"/>
        </w:rPr>
        <w:t>Peter Bakker</w:t>
      </w:r>
      <w:r w:rsidRPr="00987063">
        <w:rPr>
          <w:rFonts w:ascii="Times New Roman" w:eastAsia="標楷體" w:hAnsi="Times New Roman" w:cs="Times New Roman"/>
        </w:rPr>
        <w:t>表示，要達到</w:t>
      </w:r>
      <w:r w:rsidRPr="00987063">
        <w:rPr>
          <w:rFonts w:ascii="Times New Roman" w:eastAsia="標楷體" w:hAnsi="Times New Roman" w:cs="Times New Roman"/>
        </w:rPr>
        <w:t>2C</w:t>
      </w:r>
      <w:r w:rsidRPr="00987063">
        <w:rPr>
          <w:rFonts w:ascii="Times New Roman" w:eastAsia="標楷體" w:hAnsi="Times New Roman" w:cs="Times New Roman"/>
        </w:rPr>
        <w:t>途徑加速再生能源的部屬是不可缺少的項目。而在一份聲明中也提到，而今再生能源的部署發布，</w:t>
      </w:r>
      <w:r w:rsidR="007E7D84" w:rsidRPr="00987063">
        <w:rPr>
          <w:rFonts w:ascii="Times New Roman" w:eastAsia="標楷體" w:hAnsi="Times New Roman" w:cs="Times New Roman"/>
        </w:rPr>
        <w:t>因為企業界已察覺到投資低碳世界具多重綜合效益，故</w:t>
      </w:r>
      <w:r w:rsidRPr="00987063">
        <w:rPr>
          <w:rFonts w:ascii="Times New Roman" w:eastAsia="標楷體" w:hAnsi="Times New Roman" w:cs="Times New Roman"/>
        </w:rPr>
        <w:t>世界各地的企業</w:t>
      </w:r>
      <w:r w:rsidR="007E7D84" w:rsidRPr="00987063">
        <w:rPr>
          <w:rFonts w:ascii="Times New Roman" w:eastAsia="標楷體" w:hAnsi="Times New Roman" w:cs="Times New Roman"/>
        </w:rPr>
        <w:t>也陸續</w:t>
      </w:r>
      <w:r w:rsidRPr="00987063">
        <w:rPr>
          <w:rFonts w:ascii="Times New Roman" w:eastAsia="標楷體" w:hAnsi="Times New Roman" w:cs="Times New Roman"/>
        </w:rPr>
        <w:t>採取具體的行動以因應氣候變遷</w:t>
      </w:r>
      <w:r w:rsidR="007E7D84" w:rsidRPr="00987063">
        <w:rPr>
          <w:rFonts w:ascii="Times New Roman" w:eastAsia="標楷體" w:hAnsi="Times New Roman" w:cs="Times New Roman"/>
        </w:rPr>
        <w:t>。</w:t>
      </w:r>
    </w:p>
    <w:p w:rsidR="007E7D84" w:rsidRPr="00987063" w:rsidRDefault="007E7D84"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此宣告來自於</w:t>
      </w:r>
      <w:r w:rsidRPr="00987063">
        <w:rPr>
          <w:rFonts w:ascii="Times New Roman" w:eastAsia="標楷體" w:hAnsi="Times New Roman" w:cs="Times New Roman"/>
        </w:rPr>
        <w:t xml:space="preserve">WBCSD </w:t>
      </w:r>
      <w:proofErr w:type="spellStart"/>
      <w:r w:rsidRPr="00987063">
        <w:rPr>
          <w:rFonts w:ascii="Times New Roman" w:eastAsia="標楷體" w:hAnsi="Times New Roman" w:cs="Times New Roman"/>
        </w:rPr>
        <w:t>LCTPi</w:t>
      </w:r>
      <w:proofErr w:type="spellEnd"/>
      <w:r w:rsidRPr="00987063">
        <w:rPr>
          <w:rFonts w:ascii="Times New Roman" w:eastAsia="標楷體" w:hAnsi="Times New Roman" w:cs="Times New Roman"/>
        </w:rPr>
        <w:t>再生能源工作小組的最終版行動計畫，</w:t>
      </w:r>
      <w:r w:rsidR="005C517D" w:rsidRPr="00987063">
        <w:rPr>
          <w:rFonts w:ascii="Times New Roman" w:eastAsia="標楷體" w:hAnsi="Times New Roman" w:cs="Times New Roman"/>
        </w:rPr>
        <w:t>另外</w:t>
      </w:r>
      <w:r w:rsidR="00DD27CD" w:rsidRPr="00987063">
        <w:rPr>
          <w:rFonts w:ascii="Times New Roman" w:eastAsia="標楷體" w:hAnsi="Times New Roman" w:cs="Times New Roman"/>
        </w:rPr>
        <w:t>在</w:t>
      </w:r>
      <w:r w:rsidR="00DD27CD" w:rsidRPr="00987063">
        <w:rPr>
          <w:rFonts w:ascii="Times New Roman" w:eastAsia="標楷體" w:hAnsi="Times New Roman" w:cs="Times New Roman"/>
        </w:rPr>
        <w:t>9</w:t>
      </w:r>
      <w:r w:rsidR="00DD27CD" w:rsidRPr="00987063">
        <w:rPr>
          <w:rFonts w:ascii="Times New Roman" w:eastAsia="標楷體" w:hAnsi="Times New Roman" w:cs="Times New Roman"/>
        </w:rPr>
        <w:t>個行業的主導下，</w:t>
      </w:r>
      <w:r w:rsidR="00172399" w:rsidRPr="00987063">
        <w:rPr>
          <w:rFonts w:ascii="Times New Roman" w:eastAsia="標楷體" w:hAnsi="Times New Roman" w:cs="Times New Roman"/>
        </w:rPr>
        <w:t>該</w:t>
      </w:r>
      <w:r w:rsidR="00DD27CD" w:rsidRPr="00987063">
        <w:rPr>
          <w:rFonts w:ascii="Times New Roman" w:eastAsia="標楷體" w:hAnsi="Times New Roman" w:cs="Times New Roman"/>
        </w:rPr>
        <w:t>領先行業小組</w:t>
      </w:r>
      <w:r w:rsidR="005C517D" w:rsidRPr="00987063">
        <w:rPr>
          <w:rFonts w:ascii="Times New Roman" w:eastAsia="標楷體" w:hAnsi="Times New Roman" w:cs="Times New Roman"/>
        </w:rPr>
        <w:t>也</w:t>
      </w:r>
      <w:r w:rsidR="00DD27CD" w:rsidRPr="00987063">
        <w:rPr>
          <w:rFonts w:ascii="Times New Roman" w:eastAsia="標楷體" w:hAnsi="Times New Roman" w:cs="Times New Roman"/>
        </w:rPr>
        <w:t>將會</w:t>
      </w:r>
      <w:r w:rsidR="00172399" w:rsidRPr="00987063">
        <w:rPr>
          <w:rFonts w:ascii="Times New Roman" w:eastAsia="標楷體" w:hAnsi="Times New Roman" w:cs="Times New Roman"/>
        </w:rPr>
        <w:t>於巴黎氣候峰會說明</w:t>
      </w:r>
      <w:r w:rsidR="005C517D" w:rsidRPr="00987063">
        <w:rPr>
          <w:rFonts w:ascii="Times New Roman" w:eastAsia="標楷體" w:hAnsi="Times New Roman" w:cs="Times New Roman"/>
        </w:rPr>
        <w:t>其他</w:t>
      </w:r>
      <w:r w:rsidR="00DD27CD" w:rsidRPr="00987063">
        <w:rPr>
          <w:rFonts w:ascii="Times New Roman" w:eastAsia="標楷體" w:hAnsi="Times New Roman" w:cs="Times New Roman"/>
        </w:rPr>
        <w:t>發展特定行業的低碳發展計畫。</w:t>
      </w:r>
    </w:p>
    <w:p w:rsidR="005A7FE5" w:rsidRPr="00987063" w:rsidRDefault="005A7FE5" w:rsidP="00987063">
      <w:pPr>
        <w:pStyle w:val="a7"/>
        <w:snapToGrid w:val="0"/>
        <w:spacing w:beforeLines="50" w:before="180"/>
        <w:ind w:leftChars="0" w:left="360"/>
        <w:rPr>
          <w:rFonts w:ascii="Times New Roman" w:eastAsia="標楷體" w:hAnsi="Times New Roman" w:cs="Times New Roman"/>
        </w:rPr>
      </w:pPr>
    </w:p>
    <w:p w:rsidR="005A7FE5" w:rsidRPr="00987063" w:rsidRDefault="005A7FE5" w:rsidP="00987063">
      <w:pPr>
        <w:widowControl/>
        <w:snapToGrid w:val="0"/>
        <w:spacing w:beforeLines="50" w:before="180"/>
        <w:rPr>
          <w:rFonts w:ascii="Times New Roman" w:eastAsia="標楷體" w:hAnsi="Times New Roman" w:cs="Times New Roman"/>
        </w:rPr>
      </w:pPr>
      <w:r w:rsidRPr="00987063">
        <w:rPr>
          <w:rFonts w:ascii="Times New Roman" w:eastAsia="標楷體" w:hAnsi="Times New Roman" w:cs="Times New Roman"/>
        </w:rPr>
        <w:br w:type="page"/>
      </w:r>
    </w:p>
    <w:p w:rsidR="0072619B" w:rsidRPr="00987063" w:rsidRDefault="006D5E6D" w:rsidP="00987063">
      <w:pPr>
        <w:snapToGrid w:val="0"/>
        <w:spacing w:beforeLines="50" w:before="180"/>
        <w:rPr>
          <w:rFonts w:ascii="Times New Roman" w:eastAsia="標楷體" w:hAnsi="Times New Roman" w:cs="Times New Roman"/>
        </w:rPr>
      </w:pPr>
      <w:r>
        <w:rPr>
          <w:rFonts w:ascii="Times New Roman" w:eastAsia="標楷體" w:hAnsi="Times New Roman" w:cs="Times New Roman" w:hint="eastAsia"/>
          <w:b/>
          <w:sz w:val="28"/>
        </w:rPr>
        <w:lastRenderedPageBreak/>
        <w:t>7.</w:t>
      </w:r>
      <w:r w:rsidR="0072464F" w:rsidRPr="006D5E6D">
        <w:rPr>
          <w:rFonts w:ascii="Times New Roman" w:eastAsia="標楷體" w:hAnsi="Times New Roman" w:cs="Times New Roman"/>
          <w:b/>
          <w:sz w:val="28"/>
        </w:rPr>
        <w:t>Ethical Performance</w:t>
      </w:r>
      <w:r w:rsidR="0072464F" w:rsidRPr="006D5E6D">
        <w:rPr>
          <w:rFonts w:ascii="Times New Roman" w:eastAsia="標楷體" w:hAnsi="Times New Roman" w:cs="Times New Roman"/>
          <w:b/>
          <w:sz w:val="28"/>
        </w:rPr>
        <w:t>發布企業社會責任服務指南為幫助企業解決</w:t>
      </w:r>
      <w:r w:rsidR="0005290A" w:rsidRPr="006D5E6D">
        <w:rPr>
          <w:rFonts w:ascii="Times New Roman" w:eastAsia="標楷體" w:hAnsi="Times New Roman" w:cs="Times New Roman"/>
          <w:b/>
          <w:sz w:val="28"/>
        </w:rPr>
        <w:t>聯合國</w:t>
      </w:r>
      <w:r w:rsidR="0072464F" w:rsidRPr="006D5E6D">
        <w:rPr>
          <w:rFonts w:ascii="Times New Roman" w:eastAsia="標楷體" w:hAnsi="Times New Roman" w:cs="Times New Roman"/>
          <w:b/>
          <w:sz w:val="28"/>
        </w:rPr>
        <w:t>所發布的</w:t>
      </w:r>
      <w:r w:rsidR="0072464F" w:rsidRPr="006D5E6D">
        <w:rPr>
          <w:rFonts w:ascii="Times New Roman" w:eastAsia="標楷體" w:hAnsi="Times New Roman" w:cs="Times New Roman"/>
          <w:b/>
          <w:sz w:val="28"/>
        </w:rPr>
        <w:t>SDGs</w:t>
      </w:r>
      <w:r w:rsidR="00252E95" w:rsidRPr="006D5E6D">
        <w:rPr>
          <w:rFonts w:ascii="Times New Roman" w:eastAsia="標楷體" w:hAnsi="Times New Roman" w:cs="Times New Roman"/>
          <w:b/>
          <w:sz w:val="28"/>
        </w:rPr>
        <w:t xml:space="preserve"> </w:t>
      </w:r>
      <w:r w:rsidR="0005290A" w:rsidRPr="006D5E6D">
        <w:rPr>
          <w:rFonts w:ascii="Times New Roman" w:eastAsia="標楷體" w:hAnsi="Times New Roman" w:cs="Times New Roman"/>
          <w:b/>
          <w:sz w:val="28"/>
        </w:rPr>
        <w:t>項目</w:t>
      </w:r>
      <w:r w:rsidR="0005290A" w:rsidRPr="00987063">
        <w:rPr>
          <w:rFonts w:ascii="Times New Roman" w:eastAsia="標楷體" w:hAnsi="Times New Roman" w:cs="Times New Roman"/>
        </w:rPr>
        <w:t xml:space="preserve"> </w:t>
      </w:r>
      <w:r w:rsidR="00252E95" w:rsidRPr="00987063">
        <w:rPr>
          <w:rFonts w:ascii="Times New Roman" w:eastAsia="標楷體" w:hAnsi="Times New Roman" w:cs="Times New Roman"/>
        </w:rPr>
        <w:t>(</w:t>
      </w:r>
      <w:proofErr w:type="spellStart"/>
      <w:r w:rsidR="00252E95" w:rsidRPr="00987063">
        <w:rPr>
          <w:rFonts w:ascii="Times New Roman" w:eastAsia="標楷體" w:hAnsi="Times New Roman" w:cs="Times New Roman"/>
        </w:rPr>
        <w:t>CSRwire</w:t>
      </w:r>
      <w:proofErr w:type="spellEnd"/>
      <w:r w:rsidR="00252E95" w:rsidRPr="00987063">
        <w:rPr>
          <w:rFonts w:ascii="Times New Roman" w:eastAsia="標楷體" w:hAnsi="Times New Roman" w:cs="Times New Roman"/>
        </w:rPr>
        <w:t>，</w:t>
      </w:r>
      <w:r w:rsidR="00252E95" w:rsidRPr="00987063">
        <w:rPr>
          <w:rFonts w:ascii="Times New Roman" w:eastAsia="標楷體" w:hAnsi="Times New Roman" w:cs="Times New Roman"/>
        </w:rPr>
        <w:t>2015/11/20)</w:t>
      </w:r>
    </w:p>
    <w:p w:rsidR="00252E95" w:rsidRPr="00987063" w:rsidRDefault="006D5E6D" w:rsidP="00987063">
      <w:pPr>
        <w:snapToGrid w:val="0"/>
        <w:spacing w:beforeLines="50" w:before="180"/>
        <w:rPr>
          <w:rFonts w:ascii="Times New Roman" w:eastAsia="標楷體" w:hAnsi="Times New Roman" w:cs="Times New Roman"/>
        </w:rPr>
      </w:pPr>
      <w:hyperlink r:id="rId15" w:history="1">
        <w:r w:rsidR="00252E95" w:rsidRPr="00987063">
          <w:rPr>
            <w:rStyle w:val="a8"/>
            <w:rFonts w:ascii="Times New Roman" w:eastAsia="標楷體" w:hAnsi="Times New Roman" w:cs="Times New Roman"/>
          </w:rPr>
          <w:t>http://www.csrwire.com/press_releases/38494-Ethical-Performance-Launches-CSR-Services-Directory-to-Aid-Corporations-Tackling-New-UN-SDGs</w:t>
        </w:r>
      </w:hyperlink>
    </w:p>
    <w:p w:rsidR="00252E95" w:rsidRPr="00987063" w:rsidRDefault="00252E95" w:rsidP="00987063">
      <w:pPr>
        <w:snapToGrid w:val="0"/>
        <w:spacing w:beforeLines="50" w:before="180"/>
        <w:rPr>
          <w:rStyle w:val="aa"/>
          <w:rFonts w:ascii="Times New Roman" w:eastAsia="標楷體" w:hAnsi="Times New Roman" w:cs="Times New Roman"/>
          <w:i w:val="0"/>
          <w:iCs w:val="0"/>
          <w:color w:val="DD4B39"/>
          <w:shd w:val="clear" w:color="auto" w:fill="FFFFFF"/>
        </w:rPr>
      </w:pPr>
    </w:p>
    <w:p w:rsidR="00252E95" w:rsidRPr="00987063" w:rsidRDefault="00252E95"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隨著聯合國的永續發展目標正式通過，在道德行為的部分正逐漸更新於擴大範圍，而國際企業社會責任服務指南</w:t>
      </w:r>
      <w:r w:rsidRPr="00987063">
        <w:rPr>
          <w:rFonts w:ascii="Times New Roman" w:eastAsia="標楷體" w:hAnsi="Times New Roman" w:cs="Times New Roman"/>
        </w:rPr>
        <w:t>(CSR Services Directory)</w:t>
      </w:r>
      <w:r w:rsidRPr="00987063">
        <w:rPr>
          <w:rFonts w:ascii="Times New Roman" w:eastAsia="標楷體" w:hAnsi="Times New Roman" w:cs="Times New Roman"/>
        </w:rPr>
        <w:t>也藉此向全世界說明該組織的工作和服務。</w:t>
      </w:r>
    </w:p>
    <w:p w:rsidR="00252E95" w:rsidRPr="00987063" w:rsidRDefault="00252E95"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非營利組織、非政府組織和服務提供業者共同邀請企業於</w:t>
      </w:r>
      <w:r w:rsidRPr="00987063">
        <w:rPr>
          <w:rFonts w:ascii="Times New Roman" w:eastAsia="標楷體" w:hAnsi="Times New Roman" w:cs="Times New Roman"/>
        </w:rPr>
        <w:t>12</w:t>
      </w:r>
      <w:r w:rsidRPr="00987063">
        <w:rPr>
          <w:rFonts w:ascii="Times New Roman" w:eastAsia="標楷體" w:hAnsi="Times New Roman" w:cs="Times New Roman"/>
        </w:rPr>
        <w:t>月</w:t>
      </w:r>
      <w:r w:rsidRPr="00987063">
        <w:rPr>
          <w:rFonts w:ascii="Times New Roman" w:eastAsia="標楷體" w:hAnsi="Times New Roman" w:cs="Times New Roman"/>
        </w:rPr>
        <w:t>11</w:t>
      </w:r>
      <w:r w:rsidRPr="00987063">
        <w:rPr>
          <w:rFonts w:ascii="Times New Roman" w:eastAsia="標楷體" w:hAnsi="Times New Roman" w:cs="Times New Roman"/>
        </w:rPr>
        <w:t>日前</w:t>
      </w:r>
      <w:r w:rsidR="004E6441" w:rsidRPr="00987063">
        <w:rPr>
          <w:rFonts w:ascii="Times New Roman" w:eastAsia="標楷體" w:hAnsi="Times New Roman" w:cs="Times New Roman"/>
        </w:rPr>
        <w:t>提交有關</w:t>
      </w:r>
      <w:r w:rsidR="004E6441" w:rsidRPr="00987063">
        <w:rPr>
          <w:rFonts w:ascii="Times New Roman" w:eastAsia="標楷體" w:hAnsi="Times New Roman" w:cs="Times New Roman"/>
        </w:rPr>
        <w:t>SDGs(Sustainable Development Goals)</w:t>
      </w:r>
      <w:r w:rsidR="004E6441" w:rsidRPr="00987063">
        <w:rPr>
          <w:rFonts w:ascii="Times New Roman" w:eastAsia="標楷體" w:hAnsi="Times New Roman" w:cs="Times New Roman"/>
        </w:rPr>
        <w:t>的執行成果與連結，而該指南將預計於明年</w:t>
      </w:r>
      <w:r w:rsidR="004E6441" w:rsidRPr="00987063">
        <w:rPr>
          <w:rFonts w:ascii="Times New Roman" w:eastAsia="標楷體" w:hAnsi="Times New Roman" w:cs="Times New Roman"/>
        </w:rPr>
        <w:t>1</w:t>
      </w:r>
      <w:r w:rsidR="004E6441" w:rsidRPr="00987063">
        <w:rPr>
          <w:rFonts w:ascii="Times New Roman" w:eastAsia="標楷體" w:hAnsi="Times New Roman" w:cs="Times New Roman"/>
        </w:rPr>
        <w:t>月進行更新。</w:t>
      </w:r>
    </w:p>
    <w:p w:rsidR="004E6441" w:rsidRPr="00987063" w:rsidRDefault="004E6441"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3BL Media</w:t>
      </w:r>
      <w:proofErr w:type="gramStart"/>
      <w:r w:rsidRPr="00987063">
        <w:rPr>
          <w:rFonts w:ascii="Times New Roman" w:eastAsia="標楷體" w:hAnsi="Times New Roman" w:cs="Times New Roman"/>
        </w:rPr>
        <w:t>營運長既營運</w:t>
      </w:r>
      <w:proofErr w:type="gramEnd"/>
      <w:r w:rsidRPr="00987063">
        <w:rPr>
          <w:rFonts w:ascii="Times New Roman" w:eastAsia="標楷體" w:hAnsi="Times New Roman" w:cs="Times New Roman"/>
        </w:rPr>
        <w:t>道德表現長官</w:t>
      </w:r>
      <w:r w:rsidRPr="00987063">
        <w:rPr>
          <w:rFonts w:ascii="Times New Roman" w:eastAsia="標楷體" w:hAnsi="Times New Roman" w:cs="Times New Roman"/>
        </w:rPr>
        <w:t xml:space="preserve">Dave </w:t>
      </w:r>
      <w:proofErr w:type="spellStart"/>
      <w:r w:rsidRPr="00987063">
        <w:rPr>
          <w:rFonts w:ascii="Times New Roman" w:eastAsia="標楷體" w:hAnsi="Times New Roman" w:cs="Times New Roman"/>
        </w:rPr>
        <w:t>Armon</w:t>
      </w:r>
      <w:proofErr w:type="spellEnd"/>
      <w:r w:rsidRPr="00987063">
        <w:rPr>
          <w:rFonts w:ascii="Times New Roman" w:eastAsia="標楷體" w:hAnsi="Times New Roman" w:cs="Times New Roman"/>
        </w:rPr>
        <w:t>表示，在聯合國大會於</w:t>
      </w:r>
      <w:r w:rsidRPr="00987063">
        <w:rPr>
          <w:rFonts w:ascii="Times New Roman" w:eastAsia="標楷體" w:hAnsi="Times New Roman" w:cs="Times New Roman"/>
        </w:rPr>
        <w:t>9</w:t>
      </w:r>
      <w:r w:rsidRPr="00987063">
        <w:rPr>
          <w:rFonts w:ascii="Times New Roman" w:eastAsia="標楷體" w:hAnsi="Times New Roman" w:cs="Times New Roman"/>
        </w:rPr>
        <w:t>月通過</w:t>
      </w:r>
      <w:r w:rsidRPr="00987063">
        <w:rPr>
          <w:rFonts w:ascii="Times New Roman" w:eastAsia="標楷體" w:hAnsi="Times New Roman" w:cs="Times New Roman"/>
        </w:rPr>
        <w:t>SDGs</w:t>
      </w:r>
      <w:r w:rsidRPr="00987063">
        <w:rPr>
          <w:rFonts w:ascii="Times New Roman" w:eastAsia="標楷體" w:hAnsi="Times New Roman" w:cs="Times New Roman"/>
        </w:rPr>
        <w:t>的項目與即將來到的</w:t>
      </w:r>
      <w:r w:rsidRPr="00987063">
        <w:rPr>
          <w:rFonts w:ascii="Times New Roman" w:eastAsia="標楷體" w:hAnsi="Times New Roman" w:cs="Times New Roman"/>
        </w:rPr>
        <w:t>COP21</w:t>
      </w:r>
      <w:r w:rsidR="00DD3BDB" w:rsidRPr="00987063">
        <w:rPr>
          <w:rFonts w:ascii="Times New Roman" w:eastAsia="標楷體" w:hAnsi="Times New Roman" w:cs="Times New Roman"/>
        </w:rPr>
        <w:t>巴黎氣候峰會</w:t>
      </w:r>
      <w:proofErr w:type="gramStart"/>
      <w:r w:rsidRPr="00987063">
        <w:rPr>
          <w:rFonts w:ascii="Times New Roman" w:eastAsia="標楷體" w:hAnsi="Times New Roman" w:cs="Times New Roman"/>
        </w:rPr>
        <w:t>期間，</w:t>
      </w:r>
      <w:proofErr w:type="gramEnd"/>
      <w:r w:rsidR="00DD3BDB" w:rsidRPr="00987063">
        <w:rPr>
          <w:rFonts w:ascii="Times New Roman" w:eastAsia="標楷體" w:hAnsi="Times New Roman" w:cs="Times New Roman"/>
        </w:rPr>
        <w:t>已有數以千計的提供企業社會責任和永續發展服務的組織對此感到高度興趣。而企業社會責任服務指南已被許多人視為明確的參考指標。</w:t>
      </w:r>
    </w:p>
    <w:p w:rsidR="00252E95" w:rsidRPr="00987063" w:rsidRDefault="00DD3BDB"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2016</w:t>
      </w:r>
      <w:r w:rsidRPr="00987063">
        <w:rPr>
          <w:rFonts w:ascii="Times New Roman" w:eastAsia="標楷體" w:hAnsi="Times New Roman" w:cs="Times New Roman"/>
        </w:rPr>
        <w:t>年企業社會責任服務指南擁有超過</w:t>
      </w:r>
      <w:r w:rsidRPr="00987063">
        <w:rPr>
          <w:rFonts w:ascii="Times New Roman" w:eastAsia="標楷體" w:hAnsi="Times New Roman" w:cs="Times New Roman"/>
        </w:rPr>
        <w:t>65</w:t>
      </w:r>
      <w:r w:rsidRPr="00987063">
        <w:rPr>
          <w:rFonts w:ascii="Times New Roman" w:eastAsia="標楷體" w:hAnsi="Times New Roman" w:cs="Times New Roman"/>
        </w:rPr>
        <w:t>個國家公司所提供的內容，而在道德行為中企業社會責任與永續發展服務提供者的設計裡將加入</w:t>
      </w:r>
      <w:proofErr w:type="gramStart"/>
      <w:r w:rsidRPr="00987063">
        <w:rPr>
          <w:rFonts w:ascii="Times New Roman" w:eastAsia="標楷體" w:hAnsi="Times New Roman" w:cs="Times New Roman"/>
        </w:rPr>
        <w:t>”</w:t>
      </w:r>
      <w:proofErr w:type="gramEnd"/>
      <w:r w:rsidRPr="00987063">
        <w:rPr>
          <w:rFonts w:ascii="Times New Roman" w:eastAsia="標楷體" w:hAnsi="Times New Roman" w:cs="Times New Roman"/>
        </w:rPr>
        <w:t xml:space="preserve"> who</w:t>
      </w:r>
      <w:proofErr w:type="gramStart"/>
      <w:r w:rsidRPr="00987063">
        <w:rPr>
          <w:rFonts w:ascii="Times New Roman" w:eastAsia="標楷體" w:hAnsi="Times New Roman" w:cs="Times New Roman"/>
        </w:rPr>
        <w:t>’</w:t>
      </w:r>
      <w:proofErr w:type="gramEnd"/>
      <w:r w:rsidRPr="00987063">
        <w:rPr>
          <w:rFonts w:ascii="Times New Roman" w:eastAsia="標楷體" w:hAnsi="Times New Roman" w:cs="Times New Roman"/>
        </w:rPr>
        <w:t>s who</w:t>
      </w:r>
      <w:proofErr w:type="gramStart"/>
      <w:r w:rsidRPr="00987063">
        <w:rPr>
          <w:rFonts w:ascii="Times New Roman" w:eastAsia="標楷體" w:hAnsi="Times New Roman" w:cs="Times New Roman"/>
        </w:rPr>
        <w:t>”</w:t>
      </w:r>
      <w:proofErr w:type="gramEnd"/>
      <w:r w:rsidRPr="00987063">
        <w:rPr>
          <w:rFonts w:ascii="Times New Roman" w:eastAsia="標楷體" w:hAnsi="Times New Roman" w:cs="Times New Roman"/>
        </w:rPr>
        <w:t>這個功能。</w:t>
      </w:r>
    </w:p>
    <w:p w:rsidR="00DD3BDB" w:rsidRPr="00987063" w:rsidRDefault="00DD3BDB"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該指南使用</w:t>
      </w:r>
      <w:r w:rsidR="0005290A" w:rsidRPr="00987063">
        <w:rPr>
          <w:rFonts w:ascii="Times New Roman" w:eastAsia="標楷體" w:hAnsi="Times New Roman" w:cs="Times New Roman"/>
        </w:rPr>
        <w:t>網頁的</w:t>
      </w:r>
      <w:r w:rsidRPr="00987063">
        <w:rPr>
          <w:rFonts w:ascii="Times New Roman" w:eastAsia="標楷體" w:hAnsi="Times New Roman" w:cs="Times New Roman"/>
        </w:rPr>
        <w:t>形式以增加互動</w:t>
      </w:r>
      <w:r w:rsidR="0005290A" w:rsidRPr="00987063">
        <w:rPr>
          <w:rFonts w:ascii="Times New Roman" w:eastAsia="標楷體" w:hAnsi="Times New Roman" w:cs="Times New Roman"/>
        </w:rPr>
        <w:t>性</w:t>
      </w:r>
      <w:r w:rsidRPr="00987063">
        <w:rPr>
          <w:rFonts w:ascii="Times New Roman" w:eastAsia="標楷體" w:hAnsi="Times New Roman" w:cs="Times New Roman"/>
        </w:rPr>
        <w:t>，其內容包含窗口資訊及每</w:t>
      </w:r>
      <w:proofErr w:type="gramStart"/>
      <w:r w:rsidRPr="00987063">
        <w:rPr>
          <w:rFonts w:ascii="Times New Roman" w:eastAsia="標楷體" w:hAnsi="Times New Roman" w:cs="Times New Roman"/>
        </w:rPr>
        <w:t>個</w:t>
      </w:r>
      <w:proofErr w:type="gramEnd"/>
      <w:r w:rsidRPr="00987063">
        <w:rPr>
          <w:rFonts w:ascii="Times New Roman" w:eastAsia="標楷體" w:hAnsi="Times New Roman" w:cs="Times New Roman"/>
        </w:rPr>
        <w:t>組織的網站。</w:t>
      </w:r>
      <w:r w:rsidR="0072464F" w:rsidRPr="00987063">
        <w:rPr>
          <w:rFonts w:ascii="Times New Roman" w:eastAsia="標楷體" w:hAnsi="Times New Roman" w:cs="Times New Roman"/>
        </w:rPr>
        <w:t>在檢索中點選組織、地區和類別，可以提供交叉搜尋的功能。</w:t>
      </w:r>
    </w:p>
    <w:p w:rsidR="0072464F" w:rsidRPr="00987063" w:rsidRDefault="0072464F" w:rsidP="000570EC">
      <w:pPr>
        <w:snapToGrid w:val="0"/>
        <w:spacing w:beforeLines="50" w:before="180"/>
        <w:ind w:firstLine="480"/>
        <w:rPr>
          <w:rFonts w:ascii="Times New Roman" w:eastAsia="標楷體" w:hAnsi="Times New Roman" w:cs="Times New Roman"/>
        </w:rPr>
      </w:pPr>
      <w:r w:rsidRPr="00987063">
        <w:rPr>
          <w:rFonts w:ascii="Times New Roman" w:eastAsia="標楷體" w:hAnsi="Times New Roman" w:cs="Times New Roman"/>
        </w:rPr>
        <w:t>Ethical Performance</w:t>
      </w:r>
      <w:r w:rsidRPr="00987063">
        <w:rPr>
          <w:rFonts w:ascii="Times New Roman" w:eastAsia="標楷體" w:hAnsi="Times New Roman" w:cs="Times New Roman"/>
        </w:rPr>
        <w:t>提供大眾免費的檢索資源，並且將推動企業社會責任和永續發展的實踐列為主要業務的一部分。</w:t>
      </w:r>
    </w:p>
    <w:p w:rsidR="00252E95" w:rsidRPr="00987063" w:rsidRDefault="00252E95" w:rsidP="00987063">
      <w:pPr>
        <w:snapToGrid w:val="0"/>
        <w:spacing w:beforeLines="50" w:before="180"/>
        <w:rPr>
          <w:rFonts w:ascii="Times New Roman" w:eastAsia="標楷體" w:hAnsi="Times New Roman" w:cs="Times New Roman"/>
        </w:rPr>
      </w:pPr>
    </w:p>
    <w:p w:rsidR="00252E95" w:rsidRPr="00987063" w:rsidRDefault="00252E95" w:rsidP="00987063">
      <w:pPr>
        <w:snapToGrid w:val="0"/>
        <w:spacing w:beforeLines="50" w:before="180"/>
        <w:rPr>
          <w:rFonts w:ascii="Times New Roman" w:eastAsia="標楷體" w:hAnsi="Times New Roman" w:cs="Times New Roman"/>
        </w:rPr>
      </w:pPr>
    </w:p>
    <w:p w:rsidR="0005290A" w:rsidRPr="00987063" w:rsidRDefault="00886848" w:rsidP="00987063">
      <w:pPr>
        <w:snapToGrid w:val="0"/>
        <w:spacing w:beforeLines="50" w:before="180" w:line="240" w:lineRule="atLeast"/>
        <w:rPr>
          <w:rFonts w:ascii="Times New Roman" w:eastAsia="標楷體" w:hAnsi="Times New Roman" w:cs="Times New Roman"/>
          <w:b/>
          <w:bCs/>
          <w:color w:val="777777"/>
          <w:sz w:val="18"/>
          <w:szCs w:val="18"/>
        </w:rPr>
      </w:pPr>
      <w:r w:rsidRPr="00987063">
        <w:rPr>
          <w:rFonts w:ascii="Times New Roman" w:eastAsia="MS Mincho" w:hAnsi="Times New Roman" w:cs="Times New Roman"/>
          <w:b/>
          <w:bCs/>
          <w:color w:val="777777"/>
          <w:sz w:val="18"/>
          <w:szCs w:val="18"/>
        </w:rPr>
        <w:t>​</w:t>
      </w:r>
    </w:p>
    <w:p w:rsidR="0005290A" w:rsidRPr="00987063" w:rsidRDefault="0005290A" w:rsidP="00987063">
      <w:pPr>
        <w:widowControl/>
        <w:snapToGrid w:val="0"/>
        <w:spacing w:beforeLines="50" w:before="180"/>
        <w:rPr>
          <w:rFonts w:ascii="Times New Roman" w:eastAsia="標楷體" w:hAnsi="Times New Roman" w:cs="Times New Roman"/>
          <w:b/>
          <w:bCs/>
          <w:color w:val="777777"/>
          <w:sz w:val="18"/>
          <w:szCs w:val="18"/>
        </w:rPr>
      </w:pPr>
      <w:r w:rsidRPr="00987063">
        <w:rPr>
          <w:rFonts w:ascii="Times New Roman" w:eastAsia="標楷體" w:hAnsi="Times New Roman" w:cs="Times New Roman"/>
          <w:b/>
          <w:bCs/>
          <w:color w:val="777777"/>
          <w:sz w:val="18"/>
          <w:szCs w:val="18"/>
        </w:rPr>
        <w:br w:type="page"/>
      </w:r>
    </w:p>
    <w:p w:rsidR="00975E5B" w:rsidRPr="00975E5B" w:rsidRDefault="006D5E6D" w:rsidP="00975E5B">
      <w:pPr>
        <w:rPr>
          <w:rFonts w:eastAsia="標楷體"/>
          <w:sz w:val="28"/>
        </w:rPr>
      </w:pPr>
      <w:r>
        <w:rPr>
          <w:rFonts w:ascii="Times New Roman" w:eastAsia="標楷體" w:hAnsi="Times New Roman" w:cs="Times New Roman" w:hint="eastAsia"/>
          <w:b/>
          <w:sz w:val="28"/>
        </w:rPr>
        <w:lastRenderedPageBreak/>
        <w:t>8.</w:t>
      </w:r>
      <w:r w:rsidR="00975E5B" w:rsidRPr="006D5E6D">
        <w:rPr>
          <w:rFonts w:ascii="Times New Roman" w:eastAsia="標楷體" w:hAnsi="Times New Roman" w:cs="Times New Roman" w:hint="eastAsia"/>
          <w:b/>
          <w:sz w:val="28"/>
        </w:rPr>
        <w:t>企業社會責任</w:t>
      </w:r>
      <w:r w:rsidR="00975E5B" w:rsidRPr="006D5E6D">
        <w:rPr>
          <w:rFonts w:ascii="Times New Roman" w:eastAsia="標楷體" w:hAnsi="Times New Roman" w:cs="Times New Roman" w:hint="eastAsia"/>
          <w:b/>
          <w:sz w:val="28"/>
        </w:rPr>
        <w:t>將突顯永續發展</w:t>
      </w:r>
      <w:r w:rsidR="00975E5B" w:rsidRPr="006D5E6D">
        <w:rPr>
          <w:rFonts w:ascii="Times New Roman" w:eastAsia="標楷體" w:hAnsi="Times New Roman" w:cs="Times New Roman" w:hint="eastAsia"/>
          <w:b/>
          <w:sz w:val="28"/>
        </w:rPr>
        <w:t>方案的關鍵要素</w:t>
      </w:r>
      <w:r w:rsidR="00975E5B" w:rsidRPr="00D25047">
        <w:rPr>
          <w:rFonts w:hint="eastAsia"/>
        </w:rPr>
        <w:t xml:space="preserve"> </w:t>
      </w:r>
      <w:r w:rsidR="00975E5B">
        <w:rPr>
          <w:rFonts w:hint="eastAsia"/>
        </w:rPr>
        <w:t>(</w:t>
      </w:r>
      <w:r w:rsidR="00975E5B" w:rsidRPr="00D25047">
        <w:t>Saudi Gazette</w:t>
      </w:r>
      <w:r w:rsidR="00975E5B">
        <w:rPr>
          <w:rFonts w:hint="eastAsia"/>
        </w:rPr>
        <w:t>，</w:t>
      </w:r>
      <w:r w:rsidR="00975E5B">
        <w:rPr>
          <w:rFonts w:hint="eastAsia"/>
        </w:rPr>
        <w:t>2015/11/17)</w:t>
      </w:r>
    </w:p>
    <w:p w:rsidR="00975E5B" w:rsidRDefault="00975E5B" w:rsidP="00975E5B">
      <w:pPr>
        <w:pStyle w:val="a7"/>
        <w:ind w:leftChars="0" w:left="0"/>
      </w:pPr>
      <w:hyperlink r:id="rId16" w:history="1">
        <w:r w:rsidRPr="00C011A6">
          <w:rPr>
            <w:rStyle w:val="a8"/>
          </w:rPr>
          <w:t>http://saudigazette.com.sa/business/csr-highlights-sustainability-as-key-component-for-programs/</w:t>
        </w:r>
      </w:hyperlink>
    </w:p>
    <w:p w:rsidR="00975E5B" w:rsidRDefault="00975E5B" w:rsidP="00975E5B">
      <w:pPr>
        <w:rPr>
          <w:rFonts w:eastAsia="標楷體" w:hint="eastAsia"/>
        </w:rPr>
      </w:pPr>
    </w:p>
    <w:p w:rsidR="00975E5B" w:rsidRPr="001066A6" w:rsidRDefault="00975E5B" w:rsidP="00975E5B">
      <w:pPr>
        <w:snapToGrid w:val="0"/>
        <w:spacing w:beforeLines="50" w:before="180"/>
        <w:ind w:firstLine="480"/>
        <w:rPr>
          <w:rFonts w:eastAsia="標楷體" w:hint="eastAsia"/>
        </w:rPr>
      </w:pPr>
      <w:r w:rsidRPr="001066A6">
        <w:rPr>
          <w:rFonts w:eastAsia="標楷體" w:hint="eastAsia"/>
        </w:rPr>
        <w:t>第三屆企業社會責任（</w:t>
      </w:r>
      <w:r w:rsidRPr="001066A6">
        <w:rPr>
          <w:rFonts w:eastAsia="標楷體" w:hint="eastAsia"/>
        </w:rPr>
        <w:t>CSR</w:t>
      </w:r>
      <w:r w:rsidRPr="001066A6">
        <w:rPr>
          <w:rFonts w:eastAsia="標楷體" w:hint="eastAsia"/>
        </w:rPr>
        <w:t>）高峰會於</w:t>
      </w:r>
      <w:r w:rsidRPr="001066A6">
        <w:rPr>
          <w:rFonts w:eastAsia="標楷體" w:hint="eastAsia"/>
        </w:rPr>
        <w:t>12</w:t>
      </w:r>
      <w:r w:rsidRPr="001066A6">
        <w:rPr>
          <w:rFonts w:eastAsia="標楷體" w:hint="eastAsia"/>
        </w:rPr>
        <w:t>月</w:t>
      </w:r>
      <w:r w:rsidRPr="001066A6">
        <w:rPr>
          <w:rFonts w:eastAsia="標楷體" w:hint="eastAsia"/>
        </w:rPr>
        <w:t>1</w:t>
      </w:r>
      <w:r w:rsidRPr="001066A6">
        <w:rPr>
          <w:rFonts w:eastAsia="標楷體" w:hint="eastAsia"/>
        </w:rPr>
        <w:t>至</w:t>
      </w:r>
      <w:r w:rsidRPr="001066A6">
        <w:rPr>
          <w:rFonts w:eastAsia="標楷體" w:hint="eastAsia"/>
        </w:rPr>
        <w:t>3</w:t>
      </w:r>
      <w:r w:rsidRPr="001066A6">
        <w:rPr>
          <w:rFonts w:eastAsia="標楷體" w:hint="eastAsia"/>
        </w:rPr>
        <w:t>日在沙烏地阿拉伯的吉達希爾頓飯店舉辦</w:t>
      </w:r>
      <w:r>
        <w:rPr>
          <w:rFonts w:eastAsia="標楷體" w:hint="eastAsia"/>
        </w:rPr>
        <w:t>。</w:t>
      </w:r>
    </w:p>
    <w:p w:rsidR="00975E5B" w:rsidRPr="001066A6" w:rsidRDefault="00975E5B" w:rsidP="00975E5B">
      <w:pPr>
        <w:snapToGrid w:val="0"/>
        <w:spacing w:beforeLines="50" w:before="180"/>
        <w:ind w:firstLine="480"/>
        <w:rPr>
          <w:rFonts w:eastAsia="標楷體" w:hint="eastAsia"/>
        </w:rPr>
      </w:pPr>
      <w:r w:rsidRPr="001066A6">
        <w:rPr>
          <w:rFonts w:eastAsia="標楷體" w:hint="eastAsia"/>
        </w:rPr>
        <w:t>今年會議的重點在於企業創新策略的採用，以及他們面對所欲達成永續</w:t>
      </w:r>
      <w:r>
        <w:rPr>
          <w:rFonts w:eastAsia="標楷體" w:hint="eastAsia"/>
        </w:rPr>
        <w:t>性</w:t>
      </w:r>
      <w:r w:rsidRPr="001066A6">
        <w:rPr>
          <w:rFonts w:eastAsia="標楷體" w:hint="eastAsia"/>
        </w:rPr>
        <w:t>社會發展的強大挑戰。在為期三天的會議中，將會強調促使經濟與社會</w:t>
      </w:r>
      <w:proofErr w:type="gramStart"/>
      <w:r w:rsidRPr="001066A6">
        <w:rPr>
          <w:rFonts w:eastAsia="標楷體" w:hint="eastAsia"/>
        </w:rPr>
        <w:t>發展之巨輪</w:t>
      </w:r>
      <w:proofErr w:type="gramEnd"/>
      <w:r w:rsidRPr="001066A6">
        <w:rPr>
          <w:rFonts w:eastAsia="標楷體" w:hint="eastAsia"/>
        </w:rPr>
        <w:t>快速運轉的方法與途徑。</w:t>
      </w:r>
    </w:p>
    <w:p w:rsidR="00975E5B" w:rsidRPr="001066A6" w:rsidRDefault="00975E5B" w:rsidP="00975E5B">
      <w:pPr>
        <w:snapToGrid w:val="0"/>
        <w:spacing w:beforeLines="50" w:before="180"/>
        <w:ind w:firstLine="480"/>
        <w:rPr>
          <w:rFonts w:eastAsia="標楷體" w:hint="eastAsia"/>
        </w:rPr>
      </w:pPr>
      <w:r w:rsidRPr="001066A6">
        <w:rPr>
          <w:rFonts w:eastAsia="標楷體" w:hint="eastAsia"/>
        </w:rPr>
        <w:t>APCO</w:t>
      </w:r>
      <w:r w:rsidRPr="001066A6">
        <w:rPr>
          <w:rFonts w:eastAsia="標楷體" w:hint="eastAsia"/>
        </w:rPr>
        <w:t>沙烏地阿拉伯辦公室執行長</w:t>
      </w:r>
      <w:proofErr w:type="spellStart"/>
      <w:r w:rsidRPr="001066A6">
        <w:rPr>
          <w:rFonts w:eastAsia="標楷體" w:hint="eastAsia"/>
        </w:rPr>
        <w:t>Badr</w:t>
      </w:r>
      <w:proofErr w:type="spellEnd"/>
      <w:r w:rsidRPr="001066A6">
        <w:rPr>
          <w:rFonts w:eastAsia="標楷體" w:hint="eastAsia"/>
        </w:rPr>
        <w:t xml:space="preserve"> Al </w:t>
      </w:r>
      <w:proofErr w:type="spellStart"/>
      <w:r w:rsidRPr="001066A6">
        <w:rPr>
          <w:rFonts w:eastAsia="標楷體" w:hint="eastAsia"/>
        </w:rPr>
        <w:t>Shibani</w:t>
      </w:r>
      <w:proofErr w:type="spellEnd"/>
      <w:r w:rsidRPr="001066A6">
        <w:rPr>
          <w:rFonts w:eastAsia="標楷體" w:hint="eastAsia"/>
        </w:rPr>
        <w:t>博士強調：「在過去兩年已經證實此會議是成功的，並且使得重要的企業社會責任議題受到關注」。</w:t>
      </w:r>
    </w:p>
    <w:p w:rsidR="00975E5B" w:rsidRPr="001066A6" w:rsidRDefault="00975E5B" w:rsidP="00975E5B">
      <w:pPr>
        <w:snapToGrid w:val="0"/>
        <w:spacing w:beforeLines="50" w:before="180"/>
        <w:ind w:firstLine="480"/>
        <w:rPr>
          <w:rFonts w:eastAsia="標楷體" w:hint="eastAsia"/>
        </w:rPr>
      </w:pPr>
      <w:r w:rsidRPr="001066A6">
        <w:rPr>
          <w:rFonts w:eastAsia="標楷體" w:hint="eastAsia"/>
        </w:rPr>
        <w:t>在他身旁的會議負責人</w:t>
      </w:r>
      <w:proofErr w:type="spellStart"/>
      <w:r w:rsidRPr="001066A6">
        <w:rPr>
          <w:rFonts w:eastAsia="標楷體" w:hint="eastAsia"/>
        </w:rPr>
        <w:t>Hoda</w:t>
      </w:r>
      <w:proofErr w:type="spellEnd"/>
      <w:r w:rsidRPr="001066A6">
        <w:rPr>
          <w:rFonts w:eastAsia="標楷體" w:hint="eastAsia"/>
        </w:rPr>
        <w:t xml:space="preserve"> </w:t>
      </w:r>
      <w:proofErr w:type="spellStart"/>
      <w:r w:rsidRPr="001066A6">
        <w:rPr>
          <w:rFonts w:eastAsia="標楷體" w:hint="eastAsia"/>
        </w:rPr>
        <w:t>Abdelhay</w:t>
      </w:r>
      <w:proofErr w:type="spellEnd"/>
      <w:r w:rsidRPr="001066A6">
        <w:rPr>
          <w:rFonts w:eastAsia="標楷體" w:hint="eastAsia"/>
        </w:rPr>
        <w:t>提到：「今年的會議將會強調企業在確保永續社會與經濟發展中可扮演的關鍵角色」。</w:t>
      </w:r>
    </w:p>
    <w:p w:rsidR="00975E5B" w:rsidRPr="001066A6" w:rsidRDefault="00975E5B" w:rsidP="00975E5B">
      <w:pPr>
        <w:snapToGrid w:val="0"/>
        <w:spacing w:beforeLines="50" w:before="180"/>
        <w:ind w:firstLine="480"/>
        <w:rPr>
          <w:rFonts w:eastAsia="標楷體" w:hint="eastAsia"/>
        </w:rPr>
      </w:pPr>
      <w:r w:rsidRPr="001066A6">
        <w:rPr>
          <w:rFonts w:eastAsia="標楷體" w:hint="eastAsia"/>
        </w:rPr>
        <w:t>他</w:t>
      </w:r>
      <w:proofErr w:type="gramStart"/>
      <w:r w:rsidRPr="001066A6">
        <w:rPr>
          <w:rFonts w:eastAsia="標楷體" w:hint="eastAsia"/>
        </w:rPr>
        <w:t>補充說到</w:t>
      </w:r>
      <w:proofErr w:type="gramEnd"/>
      <w:r w:rsidRPr="001066A6">
        <w:rPr>
          <w:rFonts w:eastAsia="標楷體" w:hint="eastAsia"/>
        </w:rPr>
        <w:t>：「在過去兩年中，經由此會議已有效地增強企業與大眾對於社會責任的意識，而本次會議的主題將會更加廣泛</w:t>
      </w:r>
      <w:r>
        <w:rPr>
          <w:rFonts w:eastAsia="標楷體" w:hint="eastAsia"/>
        </w:rPr>
        <w:t>與</w:t>
      </w:r>
      <w:r w:rsidRPr="001066A6">
        <w:rPr>
          <w:rFonts w:eastAsia="標楷體" w:hint="eastAsia"/>
        </w:rPr>
        <w:t>多樣</w:t>
      </w:r>
      <w:r>
        <w:rPr>
          <w:rFonts w:eastAsia="標楷體" w:hint="eastAsia"/>
        </w:rPr>
        <w:t>化</w:t>
      </w:r>
      <w:r w:rsidRPr="001066A6">
        <w:rPr>
          <w:rFonts w:eastAsia="標楷體" w:hint="eastAsia"/>
        </w:rPr>
        <w:t>」。</w:t>
      </w:r>
    </w:p>
    <w:p w:rsidR="00975E5B" w:rsidRPr="001066A6" w:rsidRDefault="00975E5B" w:rsidP="00975E5B">
      <w:pPr>
        <w:snapToGrid w:val="0"/>
        <w:spacing w:beforeLines="50" w:before="180"/>
        <w:ind w:firstLine="480"/>
        <w:rPr>
          <w:rFonts w:eastAsia="標楷體" w:hint="eastAsia"/>
        </w:rPr>
      </w:pPr>
      <w:r w:rsidRPr="001066A6">
        <w:rPr>
          <w:rFonts w:eastAsia="標楷體" w:hint="eastAsia"/>
        </w:rPr>
        <w:t>這次會議討論的議題包括策略與永續</w:t>
      </w:r>
      <w:r>
        <w:rPr>
          <w:rFonts w:eastAsia="標楷體" w:hint="eastAsia"/>
        </w:rPr>
        <w:t>性</w:t>
      </w:r>
      <w:r w:rsidRPr="001066A6">
        <w:rPr>
          <w:rFonts w:eastAsia="標楷體" w:hint="eastAsia"/>
        </w:rPr>
        <w:t>社會責任的方法、將社會責任與永續</w:t>
      </w:r>
      <w:r>
        <w:rPr>
          <w:rFonts w:eastAsia="標楷體" w:hint="eastAsia"/>
        </w:rPr>
        <w:t>性</w:t>
      </w:r>
      <w:r w:rsidRPr="001066A6">
        <w:rPr>
          <w:rFonts w:eastAsia="標楷體" w:hint="eastAsia"/>
        </w:rPr>
        <w:t>整合至學校課程的重要性、如何創造能支持地區社會企業的永續</w:t>
      </w:r>
      <w:r>
        <w:rPr>
          <w:rFonts w:eastAsia="標楷體" w:hint="eastAsia"/>
        </w:rPr>
        <w:t>性</w:t>
      </w:r>
      <w:r w:rsidRPr="001066A6">
        <w:rPr>
          <w:rFonts w:eastAsia="標楷體" w:hint="eastAsia"/>
        </w:rPr>
        <w:t>方案以驅動國家的經濟與社會發展、</w:t>
      </w:r>
      <w:r w:rsidRPr="001066A6">
        <w:rPr>
          <w:rFonts w:eastAsia="標楷體" w:hint="eastAsia"/>
        </w:rPr>
        <w:t>King Khaled</w:t>
      </w:r>
      <w:r w:rsidRPr="001066A6">
        <w:rPr>
          <w:rFonts w:eastAsia="標楷體" w:hint="eastAsia"/>
        </w:rPr>
        <w:t>基金會的社會永續</w:t>
      </w:r>
      <w:r>
        <w:rPr>
          <w:rFonts w:eastAsia="標楷體" w:hint="eastAsia"/>
        </w:rPr>
        <w:t>性</w:t>
      </w:r>
      <w:r w:rsidRPr="001066A6">
        <w:rPr>
          <w:rFonts w:eastAsia="標楷體" w:hint="eastAsia"/>
        </w:rPr>
        <w:t>計畫、從公共關係驅動的社會責任轉向策略性聯盟的社會投資，以及大幅增進非政府組織與企業間之關係。</w:t>
      </w:r>
    </w:p>
    <w:p w:rsidR="00975E5B" w:rsidRPr="001066A6" w:rsidRDefault="00975E5B" w:rsidP="00975E5B">
      <w:pPr>
        <w:snapToGrid w:val="0"/>
        <w:spacing w:beforeLines="50" w:before="180"/>
        <w:ind w:firstLine="480"/>
        <w:rPr>
          <w:rFonts w:eastAsia="標楷體"/>
        </w:rPr>
      </w:pPr>
      <w:r w:rsidRPr="001066A6">
        <w:rPr>
          <w:rFonts w:eastAsia="標楷體" w:hint="eastAsia"/>
        </w:rPr>
        <w:t>今年會議的頭號贊助商為</w:t>
      </w:r>
      <w:r w:rsidRPr="001066A6">
        <w:rPr>
          <w:rFonts w:eastAsia="標楷體" w:hint="eastAsia"/>
        </w:rPr>
        <w:t>Al-Zahid Group</w:t>
      </w:r>
      <w:r w:rsidRPr="001066A6">
        <w:rPr>
          <w:rFonts w:eastAsia="標楷體" w:hint="eastAsia"/>
        </w:rPr>
        <w:t>，其他的贊助廠商包括</w:t>
      </w:r>
      <w:r w:rsidRPr="001066A6">
        <w:rPr>
          <w:rFonts w:eastAsia="標楷體" w:hint="eastAsia"/>
        </w:rPr>
        <w:t>Construction Products Holding (</w:t>
      </w:r>
      <w:r w:rsidRPr="001066A6">
        <w:rPr>
          <w:rFonts w:eastAsia="標楷體" w:hint="eastAsia"/>
        </w:rPr>
        <w:t>白金贊助商</w:t>
      </w:r>
      <w:r w:rsidRPr="001066A6">
        <w:rPr>
          <w:rFonts w:eastAsia="標楷體" w:hint="eastAsia"/>
        </w:rPr>
        <w:t>), P&amp;G (</w:t>
      </w:r>
      <w:r w:rsidRPr="001066A6">
        <w:rPr>
          <w:rFonts w:eastAsia="標楷體" w:hint="eastAsia"/>
        </w:rPr>
        <w:t>黃金贊助商</w:t>
      </w:r>
      <w:r w:rsidRPr="001066A6">
        <w:rPr>
          <w:rFonts w:eastAsia="標楷體" w:hint="eastAsia"/>
        </w:rPr>
        <w:t>), BAE Systems (</w:t>
      </w:r>
      <w:r w:rsidRPr="001066A6">
        <w:rPr>
          <w:rFonts w:eastAsia="標楷體" w:hint="eastAsia"/>
        </w:rPr>
        <w:t>銀牌贊助商</w:t>
      </w:r>
      <w:r w:rsidRPr="001066A6">
        <w:rPr>
          <w:rFonts w:eastAsia="標楷體" w:hint="eastAsia"/>
        </w:rPr>
        <w:t xml:space="preserve">), </w:t>
      </w:r>
      <w:proofErr w:type="spellStart"/>
      <w:r w:rsidRPr="001066A6">
        <w:rPr>
          <w:rFonts w:eastAsia="標楷體" w:hint="eastAsia"/>
        </w:rPr>
        <w:t>TalentS</w:t>
      </w:r>
      <w:proofErr w:type="spellEnd"/>
      <w:r w:rsidRPr="001066A6">
        <w:rPr>
          <w:rFonts w:eastAsia="標楷體" w:hint="eastAsia"/>
        </w:rPr>
        <w:t xml:space="preserve"> (</w:t>
      </w:r>
      <w:r w:rsidRPr="001066A6">
        <w:rPr>
          <w:rFonts w:eastAsia="標楷體" w:hint="eastAsia"/>
        </w:rPr>
        <w:t>副贊助商</w:t>
      </w:r>
      <w:r w:rsidRPr="001066A6">
        <w:rPr>
          <w:rFonts w:eastAsia="標楷體" w:hint="eastAsia"/>
        </w:rPr>
        <w:t>) and Microsoft (</w:t>
      </w:r>
      <w:r w:rsidRPr="001066A6">
        <w:rPr>
          <w:rFonts w:eastAsia="標楷體" w:hint="eastAsia"/>
        </w:rPr>
        <w:t>技術贊助商</w:t>
      </w:r>
      <w:r w:rsidRPr="001066A6">
        <w:rPr>
          <w:rFonts w:eastAsia="標楷體" w:hint="eastAsia"/>
        </w:rPr>
        <w:t>)</w:t>
      </w:r>
      <w:r w:rsidRPr="001066A6">
        <w:rPr>
          <w:rFonts w:eastAsia="標楷體" w:hint="eastAsia"/>
        </w:rPr>
        <w:t>。</w:t>
      </w:r>
    </w:p>
    <w:p w:rsidR="00975E5B" w:rsidRDefault="00975E5B" w:rsidP="00975E5B">
      <w:pPr>
        <w:pStyle w:val="a7"/>
        <w:ind w:leftChars="0" w:left="0"/>
        <w:rPr>
          <w:rFonts w:ascii="Times New Roman" w:eastAsia="標楷體" w:hAnsi="Times New Roman" w:hint="eastAsia"/>
        </w:rPr>
      </w:pPr>
    </w:p>
    <w:p w:rsidR="00975E5B" w:rsidRDefault="00975E5B">
      <w:pPr>
        <w:widowControl/>
        <w:rPr>
          <w:rFonts w:ascii="Times New Roman" w:eastAsia="標楷體" w:hAnsi="Times New Roman" w:cs="Times New Roman"/>
        </w:rPr>
      </w:pPr>
      <w:r>
        <w:rPr>
          <w:rFonts w:ascii="Times New Roman" w:eastAsia="標楷體" w:hAnsi="Times New Roman" w:cs="Times New Roman"/>
        </w:rPr>
        <w:br w:type="page"/>
      </w:r>
    </w:p>
    <w:p w:rsidR="0005290A" w:rsidRPr="00987063" w:rsidRDefault="006D5E6D" w:rsidP="00987063">
      <w:pPr>
        <w:pStyle w:val="a7"/>
        <w:snapToGrid w:val="0"/>
        <w:spacing w:beforeLines="50" w:before="180"/>
        <w:ind w:leftChars="0" w:left="0"/>
        <w:rPr>
          <w:rFonts w:ascii="Times New Roman" w:eastAsia="標楷體" w:hAnsi="Times New Roman" w:cs="Times New Roman"/>
        </w:rPr>
      </w:pPr>
      <w:r>
        <w:rPr>
          <w:rFonts w:ascii="Times New Roman" w:eastAsia="標楷體" w:hAnsi="Times New Roman" w:cs="Times New Roman" w:hint="eastAsia"/>
          <w:b/>
          <w:sz w:val="28"/>
        </w:rPr>
        <w:lastRenderedPageBreak/>
        <w:t>9.</w:t>
      </w:r>
      <w:r w:rsidR="0005290A" w:rsidRPr="006D5E6D">
        <w:rPr>
          <w:rFonts w:ascii="Times New Roman" w:eastAsia="標楷體" w:hAnsi="Times New Roman" w:cs="Times New Roman"/>
          <w:b/>
          <w:sz w:val="28"/>
        </w:rPr>
        <w:t>性向將納入</w:t>
      </w:r>
      <w:r w:rsidR="0005290A" w:rsidRPr="006D5E6D">
        <w:rPr>
          <w:rFonts w:ascii="Times New Roman" w:eastAsia="標楷體" w:hAnsi="Times New Roman" w:cs="Times New Roman"/>
          <w:b/>
          <w:sz w:val="28"/>
        </w:rPr>
        <w:t>CSR</w:t>
      </w:r>
      <w:r w:rsidR="0005290A" w:rsidRPr="006D5E6D">
        <w:rPr>
          <w:rFonts w:ascii="Times New Roman" w:eastAsia="標楷體" w:hAnsi="Times New Roman" w:cs="Times New Roman"/>
          <w:b/>
          <w:sz w:val="28"/>
        </w:rPr>
        <w:t>議題之中</w:t>
      </w:r>
      <w:r w:rsidR="0005290A" w:rsidRPr="00987063">
        <w:rPr>
          <w:rFonts w:ascii="Times New Roman" w:eastAsia="標楷體" w:hAnsi="Times New Roman" w:cs="Times New Roman"/>
        </w:rPr>
        <w:t xml:space="preserve"> (The Maritime Executive</w:t>
      </w:r>
      <w:r w:rsidR="0005290A" w:rsidRPr="00987063">
        <w:rPr>
          <w:rFonts w:ascii="Times New Roman" w:eastAsia="標楷體" w:hAnsi="Times New Roman" w:cs="Times New Roman"/>
        </w:rPr>
        <w:t>，</w:t>
      </w:r>
      <w:r w:rsidR="0005290A" w:rsidRPr="00987063">
        <w:rPr>
          <w:rFonts w:ascii="Times New Roman" w:eastAsia="標楷體" w:hAnsi="Times New Roman" w:cs="Times New Roman"/>
        </w:rPr>
        <w:t>2015/11/14)</w:t>
      </w:r>
    </w:p>
    <w:p w:rsidR="0005290A" w:rsidRPr="00987063" w:rsidRDefault="006D5E6D" w:rsidP="00987063">
      <w:pPr>
        <w:pStyle w:val="a7"/>
        <w:snapToGrid w:val="0"/>
        <w:spacing w:beforeLines="50" w:before="180"/>
        <w:ind w:leftChars="0" w:left="0"/>
        <w:rPr>
          <w:rFonts w:ascii="Times New Roman" w:eastAsia="標楷體" w:hAnsi="Times New Roman" w:cs="Times New Roman"/>
          <w:color w:val="0000FF" w:themeColor="hyperlink"/>
          <w:u w:val="single"/>
        </w:rPr>
      </w:pPr>
      <w:hyperlink r:id="rId17" w:history="1">
        <w:r w:rsidR="0005290A" w:rsidRPr="00987063">
          <w:rPr>
            <w:rStyle w:val="a8"/>
            <w:rFonts w:ascii="Times New Roman" w:eastAsia="標楷體" w:hAnsi="Times New Roman" w:cs="Times New Roman"/>
          </w:rPr>
          <w:t>http://www.maritime-executive.com/article/sexual-orientation-issues-put-on-csr-agenda</w:t>
        </w:r>
      </w:hyperlink>
    </w:p>
    <w:p w:rsidR="0005290A" w:rsidRPr="00987063" w:rsidRDefault="0005290A" w:rsidP="00987063">
      <w:pPr>
        <w:snapToGrid w:val="0"/>
        <w:spacing w:beforeLines="50" w:before="180"/>
        <w:rPr>
          <w:rFonts w:ascii="Times New Roman" w:eastAsia="標楷體" w:hAnsi="Times New Roman" w:cs="Times New Roman"/>
        </w:rPr>
      </w:pPr>
    </w:p>
    <w:p w:rsidR="0005290A" w:rsidRPr="00987063" w:rsidRDefault="0005290A" w:rsidP="000570EC">
      <w:pPr>
        <w:pStyle w:val="a7"/>
        <w:snapToGrid w:val="0"/>
        <w:spacing w:beforeLines="50" w:before="180"/>
        <w:ind w:leftChars="0" w:left="0" w:firstLine="480"/>
        <w:rPr>
          <w:rFonts w:ascii="Times New Roman" w:eastAsia="標楷體" w:hAnsi="Times New Roman" w:cs="Times New Roman"/>
        </w:rPr>
      </w:pPr>
      <w:r w:rsidRPr="00987063">
        <w:rPr>
          <w:rFonts w:ascii="Times New Roman" w:eastAsia="標楷體" w:hAnsi="Times New Roman" w:cs="Times New Roman"/>
        </w:rPr>
        <w:t>人權慈善組織</w:t>
      </w:r>
      <w:r w:rsidRPr="00987063">
        <w:rPr>
          <w:rFonts w:ascii="Times New Roman" w:eastAsia="標楷體" w:hAnsi="Times New Roman" w:cs="Times New Roman"/>
        </w:rPr>
        <w:t>Human Rights at Sea</w:t>
      </w:r>
      <w:r w:rsidRPr="00987063">
        <w:rPr>
          <w:rFonts w:ascii="Times New Roman" w:eastAsia="標楷體" w:hAnsi="Times New Roman" w:cs="Times New Roman"/>
        </w:rPr>
        <w:t>在海洋舞台上發布了關於女同志、男同志、雙性戀和跨性別</w:t>
      </w:r>
      <w:r w:rsidRPr="00987063">
        <w:rPr>
          <w:rFonts w:ascii="Times New Roman" w:eastAsia="標楷體" w:hAnsi="Times New Roman" w:cs="Times New Roman"/>
        </w:rPr>
        <w:t>(LGBT)</w:t>
      </w:r>
      <w:r w:rsidRPr="00987063">
        <w:rPr>
          <w:rFonts w:ascii="Times New Roman" w:eastAsia="標楷體" w:hAnsi="Times New Roman" w:cs="Times New Roman"/>
        </w:rPr>
        <w:t>權力的指南。</w:t>
      </w:r>
    </w:p>
    <w:p w:rsidR="0005290A" w:rsidRPr="00987063" w:rsidRDefault="0005290A" w:rsidP="000570EC">
      <w:pPr>
        <w:pStyle w:val="a7"/>
        <w:snapToGrid w:val="0"/>
        <w:spacing w:beforeLines="50" w:before="180"/>
        <w:ind w:leftChars="0" w:left="0" w:firstLine="480"/>
        <w:rPr>
          <w:rFonts w:ascii="Times New Roman" w:eastAsia="標楷體" w:hAnsi="Times New Roman" w:cs="Times New Roman"/>
        </w:rPr>
      </w:pPr>
      <w:r w:rsidRPr="00987063">
        <w:rPr>
          <w:rFonts w:ascii="Times New Roman" w:eastAsia="標楷體" w:hAnsi="Times New Roman" w:cs="Times New Roman"/>
        </w:rPr>
        <w:t>Human Rights at Sea (HRAS)</w:t>
      </w:r>
      <w:r w:rsidRPr="00987063">
        <w:rPr>
          <w:rFonts w:ascii="Times New Roman" w:eastAsia="標楷體" w:hAnsi="Times New Roman" w:cs="Times New Roman"/>
        </w:rPr>
        <w:t>和它的建議者所建構的這份指南包括了性別和</w:t>
      </w:r>
      <w:r w:rsidRPr="00987063">
        <w:rPr>
          <w:rFonts w:ascii="Times New Roman" w:eastAsia="標楷體" w:hAnsi="Times New Roman" w:cs="Times New Roman"/>
        </w:rPr>
        <w:t>LGBT</w:t>
      </w:r>
      <w:r w:rsidRPr="00987063">
        <w:rPr>
          <w:rFonts w:ascii="Times New Roman" w:eastAsia="標楷體" w:hAnsi="Times New Roman" w:cs="Times New Roman"/>
        </w:rPr>
        <w:t>的相關議題。</w:t>
      </w:r>
    </w:p>
    <w:p w:rsidR="0005290A" w:rsidRPr="00987063" w:rsidRDefault="0005290A" w:rsidP="000570EC">
      <w:pPr>
        <w:pStyle w:val="a7"/>
        <w:snapToGrid w:val="0"/>
        <w:spacing w:beforeLines="50" w:before="180"/>
        <w:ind w:leftChars="0" w:left="0" w:firstLine="480"/>
        <w:rPr>
          <w:rFonts w:ascii="Times New Roman" w:eastAsia="標楷體" w:hAnsi="Times New Roman" w:cs="Times New Roman"/>
        </w:rPr>
      </w:pPr>
      <w:r w:rsidRPr="00987063">
        <w:rPr>
          <w:rFonts w:ascii="Times New Roman" w:eastAsia="標楷體" w:hAnsi="Times New Roman" w:cs="Times New Roman"/>
        </w:rPr>
        <w:t>Human Rights at Sea</w:t>
      </w:r>
      <w:r w:rsidRPr="00987063">
        <w:rPr>
          <w:rFonts w:ascii="Times New Roman" w:eastAsia="標楷體" w:hAnsi="Times New Roman" w:cs="Times New Roman"/>
        </w:rPr>
        <w:t>的執行長</w:t>
      </w:r>
      <w:r w:rsidRPr="00987063">
        <w:rPr>
          <w:rFonts w:ascii="Times New Roman" w:eastAsia="標楷體" w:hAnsi="Times New Roman" w:cs="Times New Roman"/>
        </w:rPr>
        <w:t>David Hammond</w:t>
      </w:r>
      <w:r w:rsidRPr="00987063">
        <w:rPr>
          <w:rFonts w:ascii="Times New Roman" w:eastAsia="標楷體" w:hAnsi="Times New Roman" w:cs="Times New Roman"/>
        </w:rPr>
        <w:t>表示：「將性別、無歧視，以及在海事環境中的</w:t>
      </w:r>
      <w:r w:rsidRPr="00987063">
        <w:rPr>
          <w:rFonts w:ascii="Times New Roman" w:eastAsia="標楷體" w:hAnsi="Times New Roman" w:cs="Times New Roman"/>
        </w:rPr>
        <w:t>LGBT</w:t>
      </w:r>
      <w:r w:rsidRPr="00987063">
        <w:rPr>
          <w:rFonts w:ascii="Times New Roman" w:eastAsia="標楷體" w:hAnsi="Times New Roman" w:cs="Times New Roman"/>
        </w:rPr>
        <w:t>族群議題納入企業社會責任範圍是個無法被否決的議題。」</w:t>
      </w:r>
    </w:p>
    <w:p w:rsidR="0005290A" w:rsidRPr="00987063" w:rsidRDefault="0005290A" w:rsidP="000570EC">
      <w:pPr>
        <w:pStyle w:val="a7"/>
        <w:snapToGrid w:val="0"/>
        <w:spacing w:beforeLines="50" w:before="180"/>
        <w:ind w:leftChars="0" w:left="0" w:firstLine="480"/>
        <w:rPr>
          <w:rFonts w:ascii="Times New Roman" w:eastAsia="標楷體" w:hAnsi="Times New Roman" w:cs="Times New Roman"/>
        </w:rPr>
      </w:pPr>
      <w:r w:rsidRPr="00987063">
        <w:rPr>
          <w:rFonts w:ascii="Times New Roman" w:eastAsia="標楷體" w:hAnsi="Times New Roman" w:cs="Times New Roman"/>
        </w:rPr>
        <w:t>Hammond</w:t>
      </w:r>
      <w:r w:rsidRPr="00987063">
        <w:rPr>
          <w:rFonts w:ascii="Times New Roman" w:eastAsia="標楷體" w:hAnsi="Times New Roman" w:cs="Times New Roman"/>
        </w:rPr>
        <w:t>相信</w:t>
      </w:r>
      <w:r w:rsidRPr="00987063">
        <w:rPr>
          <w:rFonts w:ascii="Times New Roman" w:eastAsia="標楷體" w:hAnsi="Times New Roman" w:cs="Times New Roman"/>
        </w:rPr>
        <w:t>LGBT</w:t>
      </w:r>
      <w:r w:rsidRPr="00987063">
        <w:rPr>
          <w:rFonts w:ascii="Times New Roman" w:eastAsia="標楷體" w:hAnsi="Times New Roman" w:cs="Times New Roman"/>
        </w:rPr>
        <w:t>族群是在海事環境中容易受到</w:t>
      </w:r>
      <w:proofErr w:type="gramStart"/>
      <w:r w:rsidRPr="00987063">
        <w:rPr>
          <w:rFonts w:ascii="Times New Roman" w:eastAsia="標楷體" w:hAnsi="Times New Roman" w:cs="Times New Roman"/>
        </w:rPr>
        <w:t>霸凌和</w:t>
      </w:r>
      <w:proofErr w:type="gramEnd"/>
      <w:r w:rsidRPr="00987063">
        <w:rPr>
          <w:rFonts w:ascii="Times New Roman" w:eastAsia="標楷體" w:hAnsi="Times New Roman" w:cs="Times New Roman"/>
        </w:rPr>
        <w:t>性別暴力的族群。從企業社會責任觀點來看，這意味著海事團體必須致力於確保員工有個安全的工作環境。</w:t>
      </w:r>
    </w:p>
    <w:p w:rsidR="0005290A" w:rsidRPr="00987063" w:rsidRDefault="0005290A" w:rsidP="000570EC">
      <w:pPr>
        <w:pStyle w:val="a7"/>
        <w:snapToGrid w:val="0"/>
        <w:spacing w:beforeLines="50" w:before="180"/>
        <w:ind w:leftChars="0" w:left="0" w:firstLine="480"/>
        <w:rPr>
          <w:rFonts w:ascii="Times New Roman" w:eastAsia="標楷體" w:hAnsi="Times New Roman" w:cs="Times New Roman"/>
        </w:rPr>
      </w:pPr>
      <w:r w:rsidRPr="00987063">
        <w:rPr>
          <w:rFonts w:ascii="Times New Roman" w:eastAsia="標楷體" w:hAnsi="Times New Roman" w:cs="Times New Roman"/>
        </w:rPr>
        <w:t>在全球至少仍有</w:t>
      </w:r>
      <w:r w:rsidRPr="00987063">
        <w:rPr>
          <w:rFonts w:ascii="Times New Roman" w:eastAsia="標楷體" w:hAnsi="Times New Roman" w:cs="Times New Roman"/>
        </w:rPr>
        <w:t>76</w:t>
      </w:r>
      <w:r w:rsidRPr="00987063">
        <w:rPr>
          <w:rFonts w:ascii="Times New Roman" w:eastAsia="標楷體" w:hAnsi="Times New Roman" w:cs="Times New Roman"/>
        </w:rPr>
        <w:t>個國家認為成人的同性關係是違法的，刑罰從罰鍰到體罰、有期徒刑、無期徒刑甚至死刑不等。這些具歧視性的法條同時具有明確的罪名和與道德、性向矯正和違反「自然法則」等模糊的語彙。</w:t>
      </w:r>
    </w:p>
    <w:p w:rsidR="0005290A" w:rsidRPr="00987063" w:rsidRDefault="0005290A" w:rsidP="000570EC">
      <w:pPr>
        <w:pStyle w:val="a7"/>
        <w:snapToGrid w:val="0"/>
        <w:spacing w:beforeLines="50" w:before="180"/>
        <w:ind w:leftChars="0" w:left="0" w:firstLine="480"/>
        <w:rPr>
          <w:rFonts w:ascii="Times New Roman" w:eastAsia="標楷體" w:hAnsi="Times New Roman" w:cs="Times New Roman"/>
        </w:rPr>
      </w:pPr>
      <w:r w:rsidRPr="00987063">
        <w:rPr>
          <w:rFonts w:ascii="Times New Roman" w:eastAsia="標楷體" w:hAnsi="Times New Roman" w:cs="Times New Roman"/>
        </w:rPr>
        <w:t>HARS</w:t>
      </w:r>
      <w:r w:rsidRPr="00987063">
        <w:rPr>
          <w:rFonts w:ascii="Times New Roman" w:eastAsia="標楷體" w:hAnsi="Times New Roman" w:cs="Times New Roman"/>
        </w:rPr>
        <w:t>表示性別並非指男女生理構造的差別，這些是固定且先天就決定的，這些差異不會改變。性別是動態的，它容易改變，是可以社會性地學習、建構和適應於社會和環境中。</w:t>
      </w:r>
    </w:p>
    <w:p w:rsidR="0005290A" w:rsidRPr="00987063" w:rsidRDefault="0005290A" w:rsidP="000570EC">
      <w:pPr>
        <w:pStyle w:val="a7"/>
        <w:snapToGrid w:val="0"/>
        <w:spacing w:beforeLines="50" w:before="180"/>
        <w:ind w:leftChars="0" w:left="0" w:firstLine="480"/>
        <w:rPr>
          <w:rFonts w:ascii="Times New Roman" w:eastAsia="標楷體" w:hAnsi="Times New Roman" w:cs="Times New Roman"/>
        </w:rPr>
      </w:pPr>
      <w:r w:rsidRPr="00987063">
        <w:rPr>
          <w:rFonts w:ascii="Times New Roman" w:eastAsia="標楷體" w:hAnsi="Times New Roman" w:cs="Times New Roman"/>
        </w:rPr>
        <w:t>HRAS</w:t>
      </w:r>
      <w:r w:rsidRPr="00987063">
        <w:rPr>
          <w:rFonts w:ascii="Times New Roman" w:eastAsia="標楷體" w:hAnsi="Times New Roman" w:cs="Times New Roman"/>
        </w:rPr>
        <w:t>曾公布一個關於在海事環境中</w:t>
      </w:r>
      <w:r w:rsidRPr="00987063">
        <w:rPr>
          <w:rFonts w:ascii="Times New Roman" w:eastAsia="標楷體" w:hAnsi="Times New Roman" w:cs="Times New Roman"/>
        </w:rPr>
        <w:t>LGBT</w:t>
      </w:r>
      <w:r w:rsidRPr="00987063">
        <w:rPr>
          <w:rFonts w:ascii="Times New Roman" w:eastAsia="標楷體" w:hAnsi="Times New Roman" w:cs="Times New Roman"/>
        </w:rPr>
        <w:t>和性別的資訊。</w:t>
      </w:r>
      <w:r w:rsidRPr="00987063">
        <w:rPr>
          <w:rFonts w:ascii="Times New Roman" w:eastAsia="標楷體" w:hAnsi="Times New Roman" w:cs="Times New Roman"/>
        </w:rPr>
        <w:t>Hammond</w:t>
      </w:r>
      <w:r w:rsidRPr="00987063">
        <w:rPr>
          <w:rFonts w:ascii="Times New Roman" w:eastAsia="標楷體" w:hAnsi="Times New Roman" w:cs="Times New Roman"/>
        </w:rPr>
        <w:t>表示：「國際勞工組織和國際海洋組織已在性別議題上做了相當廣泛的工作，而今日</w:t>
      </w:r>
      <w:r w:rsidRPr="00987063">
        <w:rPr>
          <w:rFonts w:ascii="Times New Roman" w:eastAsia="標楷體" w:hAnsi="Times New Roman" w:cs="Times New Roman"/>
        </w:rPr>
        <w:t>HRAS</w:t>
      </w:r>
      <w:r w:rsidRPr="00987063">
        <w:rPr>
          <w:rFonts w:ascii="Times New Roman" w:eastAsia="標楷體" w:hAnsi="Times New Roman" w:cs="Times New Roman"/>
        </w:rPr>
        <w:t>也成為為性別議題聲援的一員。」</w:t>
      </w:r>
    </w:p>
    <w:p w:rsidR="0005290A" w:rsidRPr="00987063" w:rsidRDefault="0005290A" w:rsidP="000570EC">
      <w:pPr>
        <w:pStyle w:val="a7"/>
        <w:snapToGrid w:val="0"/>
        <w:spacing w:beforeLines="50" w:before="180"/>
        <w:ind w:leftChars="0" w:left="0" w:firstLine="480"/>
        <w:rPr>
          <w:rFonts w:ascii="Times New Roman" w:eastAsia="標楷體" w:hAnsi="Times New Roman" w:cs="Times New Roman"/>
        </w:rPr>
      </w:pPr>
      <w:r w:rsidRPr="00987063">
        <w:rPr>
          <w:rFonts w:ascii="Times New Roman" w:eastAsia="標楷體" w:hAnsi="Times New Roman" w:cs="Times New Roman"/>
        </w:rPr>
        <w:t>他引用聯合國秘書長潘基文的話：「現在有</w:t>
      </w:r>
      <w:r w:rsidRPr="00987063">
        <w:rPr>
          <w:rFonts w:ascii="Times New Roman" w:eastAsia="標楷體" w:hAnsi="Times New Roman" w:cs="Times New Roman"/>
        </w:rPr>
        <w:t>17</w:t>
      </w:r>
      <w:r w:rsidRPr="00987063">
        <w:rPr>
          <w:rFonts w:ascii="Times New Roman" w:eastAsia="標楷體" w:hAnsi="Times New Roman" w:cs="Times New Roman"/>
        </w:rPr>
        <w:t>個永續發展目標，而這些目標都建立在一個基礎原則上：不可以拋下任何人。唯有不在乎每個人的性向和性別，接觸每個人，我們才能達成目標。」</w:t>
      </w:r>
    </w:p>
    <w:p w:rsidR="0005290A" w:rsidRPr="00987063" w:rsidRDefault="0005290A" w:rsidP="00987063">
      <w:pPr>
        <w:snapToGrid w:val="0"/>
        <w:spacing w:beforeLines="50" w:before="180"/>
        <w:rPr>
          <w:rFonts w:ascii="Times New Roman" w:eastAsia="標楷體" w:hAnsi="Times New Roman" w:cs="Times New Roman"/>
        </w:rPr>
      </w:pPr>
    </w:p>
    <w:p w:rsidR="0005290A" w:rsidRPr="00987063" w:rsidRDefault="0005290A" w:rsidP="00987063">
      <w:pPr>
        <w:snapToGrid w:val="0"/>
        <w:spacing w:beforeLines="50" w:before="180"/>
        <w:rPr>
          <w:rFonts w:ascii="Times New Roman" w:eastAsia="標楷體" w:hAnsi="Times New Roman" w:cs="Times New Roman"/>
        </w:rPr>
      </w:pPr>
    </w:p>
    <w:p w:rsidR="0005290A" w:rsidRPr="00987063" w:rsidRDefault="0005290A" w:rsidP="00987063">
      <w:pPr>
        <w:snapToGrid w:val="0"/>
        <w:spacing w:beforeLines="50" w:before="180"/>
        <w:rPr>
          <w:rFonts w:ascii="Times New Roman" w:eastAsia="標楷體" w:hAnsi="Times New Roman" w:cs="Times New Roman"/>
        </w:rPr>
      </w:pPr>
    </w:p>
    <w:p w:rsidR="0005290A" w:rsidRPr="00987063" w:rsidRDefault="0005290A" w:rsidP="00987063">
      <w:pPr>
        <w:snapToGrid w:val="0"/>
        <w:spacing w:beforeLines="50" w:before="180"/>
        <w:rPr>
          <w:rFonts w:ascii="Times New Roman" w:eastAsia="標楷體" w:hAnsi="Times New Roman" w:cs="Times New Roman"/>
        </w:rPr>
      </w:pPr>
    </w:p>
    <w:p w:rsidR="0005290A" w:rsidRPr="00987063" w:rsidRDefault="0005290A" w:rsidP="00987063">
      <w:pPr>
        <w:widowControl/>
        <w:snapToGrid w:val="0"/>
        <w:spacing w:beforeLines="50" w:before="180"/>
        <w:rPr>
          <w:rFonts w:ascii="Times New Roman" w:eastAsia="標楷體" w:hAnsi="Times New Roman" w:cs="Times New Roman"/>
        </w:rPr>
      </w:pPr>
    </w:p>
    <w:p w:rsidR="00975E5B" w:rsidRDefault="00975E5B">
      <w:pPr>
        <w:widowControl/>
        <w:rPr>
          <w:rFonts w:ascii="Times New Roman" w:eastAsia="標楷體" w:hAnsi="Times New Roman" w:cs="Times New Roman"/>
        </w:rPr>
      </w:pPr>
      <w:r>
        <w:rPr>
          <w:rFonts w:ascii="Times New Roman" w:eastAsia="標楷體" w:hAnsi="Times New Roman" w:cs="Times New Roman"/>
        </w:rPr>
        <w:br w:type="page"/>
      </w:r>
    </w:p>
    <w:p w:rsidR="00975E5B" w:rsidRPr="00975E5B" w:rsidRDefault="006D5E6D" w:rsidP="006D5E6D">
      <w:pPr>
        <w:pStyle w:val="a7"/>
        <w:spacing w:beforeLines="50" w:before="180"/>
        <w:ind w:leftChars="0" w:left="0"/>
        <w:rPr>
          <w:rFonts w:ascii="Times New Roman" w:eastAsia="標楷體" w:hAnsi="Times New Roman"/>
          <w:szCs w:val="24"/>
        </w:rPr>
      </w:pPr>
      <w:r>
        <w:rPr>
          <w:rFonts w:ascii="Times New Roman" w:eastAsia="標楷體" w:hAnsi="Times New Roman" w:cs="Times New Roman" w:hint="eastAsia"/>
          <w:b/>
          <w:sz w:val="28"/>
        </w:rPr>
        <w:lastRenderedPageBreak/>
        <w:t>10</w:t>
      </w:r>
      <w:bookmarkStart w:id="0" w:name="_GoBack"/>
      <w:bookmarkEnd w:id="0"/>
      <w:r>
        <w:rPr>
          <w:rFonts w:ascii="Times New Roman" w:eastAsia="標楷體" w:hAnsi="Times New Roman" w:cs="Times New Roman" w:hint="eastAsia"/>
          <w:b/>
          <w:sz w:val="28"/>
        </w:rPr>
        <w:t>.</w:t>
      </w:r>
      <w:r w:rsidR="00975E5B" w:rsidRPr="006D5E6D">
        <w:rPr>
          <w:rFonts w:ascii="Times New Roman" w:eastAsia="標楷體" w:hAnsi="Times New Roman" w:cs="Times New Roman"/>
          <w:b/>
          <w:sz w:val="28"/>
        </w:rPr>
        <w:t>傳遞的影響－永續報告今日的角色</w:t>
      </w:r>
      <w:r w:rsidR="00975E5B" w:rsidRPr="00975E5B">
        <w:rPr>
          <w:rFonts w:eastAsia="標楷體" w:hint="eastAsia"/>
          <w:szCs w:val="24"/>
        </w:rPr>
        <w:t xml:space="preserve"> </w:t>
      </w:r>
      <w:r w:rsidR="00975E5B" w:rsidRPr="00975E5B">
        <w:rPr>
          <w:rFonts w:ascii="Times New Roman" w:eastAsia="標楷體" w:hAnsi="Times New Roman"/>
          <w:szCs w:val="24"/>
        </w:rPr>
        <w:t>(The Business Times</w:t>
      </w:r>
      <w:r w:rsidR="00975E5B" w:rsidRPr="00975E5B">
        <w:rPr>
          <w:rFonts w:ascii="Times New Roman" w:eastAsia="標楷體" w:hAnsi="Times New Roman"/>
          <w:szCs w:val="24"/>
        </w:rPr>
        <w:t>，</w:t>
      </w:r>
      <w:r w:rsidR="00975E5B" w:rsidRPr="00975E5B">
        <w:rPr>
          <w:rFonts w:ascii="Times New Roman" w:eastAsia="標楷體" w:hAnsi="Times New Roman"/>
          <w:szCs w:val="24"/>
        </w:rPr>
        <w:t xml:space="preserve">2015/11/12) </w:t>
      </w:r>
    </w:p>
    <w:p w:rsidR="00975E5B" w:rsidRPr="00E65851" w:rsidRDefault="00975E5B" w:rsidP="006D5E6D">
      <w:pPr>
        <w:spacing w:beforeLines="50" w:before="180"/>
        <w:rPr>
          <w:rFonts w:eastAsia="標楷體"/>
          <w:sz w:val="28"/>
          <w:szCs w:val="28"/>
        </w:rPr>
      </w:pPr>
      <w:hyperlink r:id="rId18" w:history="1">
        <w:r w:rsidRPr="00E65851">
          <w:rPr>
            <w:rStyle w:val="a8"/>
            <w:rFonts w:eastAsia="標楷體"/>
          </w:rPr>
          <w:t>h</w:t>
        </w:r>
        <w:r w:rsidRPr="00E65851">
          <w:rPr>
            <w:rStyle w:val="a8"/>
            <w:rFonts w:eastAsia="標楷體"/>
          </w:rPr>
          <w:t>t</w:t>
        </w:r>
        <w:r w:rsidRPr="00E65851">
          <w:rPr>
            <w:rStyle w:val="a8"/>
            <w:rFonts w:eastAsia="標楷體"/>
          </w:rPr>
          <w:t>tp://www.businesstimes.com.sg/hub/asia-corporate-excellence-sustainability-awards-2015/delivering-impact-the-role-of</w:t>
        </w:r>
      </w:hyperlink>
    </w:p>
    <w:p w:rsidR="00975E5B" w:rsidRPr="00E65851" w:rsidRDefault="00975E5B" w:rsidP="006D5E6D">
      <w:pPr>
        <w:spacing w:beforeLines="50" w:before="180"/>
        <w:rPr>
          <w:rFonts w:eastAsia="標楷體"/>
          <w:sz w:val="28"/>
          <w:szCs w:val="28"/>
        </w:rPr>
      </w:pPr>
    </w:p>
    <w:p w:rsidR="00975E5B" w:rsidRPr="00E65851" w:rsidRDefault="00975E5B" w:rsidP="006D5E6D">
      <w:pPr>
        <w:spacing w:beforeLines="50" w:before="180"/>
        <w:ind w:firstLine="480"/>
        <w:rPr>
          <w:rFonts w:eastAsia="標楷體"/>
        </w:rPr>
      </w:pPr>
      <w:r>
        <w:rPr>
          <w:rFonts w:eastAsia="標楷體"/>
        </w:rPr>
        <w:t>藉由非財物</w:t>
      </w:r>
      <w:r w:rsidRPr="00E65851">
        <w:rPr>
          <w:rFonts w:eastAsia="標楷體"/>
        </w:rPr>
        <w:t>風險與機會的分析，現今的永續</w:t>
      </w:r>
      <w:r>
        <w:rPr>
          <w:rFonts w:eastAsia="標楷體" w:hint="eastAsia"/>
        </w:rPr>
        <w:t>性</w:t>
      </w:r>
      <w:r w:rsidRPr="00E65851">
        <w:rPr>
          <w:rFonts w:eastAsia="標楷體"/>
        </w:rPr>
        <w:t>報告已被視為一種不但能支持揭露而且能提升企業整體價值鏈的全面性與策略性的回應。</w:t>
      </w:r>
    </w:p>
    <w:p w:rsidR="00975E5B" w:rsidRPr="00E65851" w:rsidRDefault="00975E5B" w:rsidP="006D5E6D">
      <w:pPr>
        <w:spacing w:beforeLines="50" w:before="180"/>
        <w:ind w:firstLine="480"/>
        <w:rPr>
          <w:rFonts w:eastAsia="標楷體"/>
        </w:rPr>
      </w:pPr>
      <w:r w:rsidRPr="00E65851">
        <w:rPr>
          <w:rFonts w:eastAsia="標楷體"/>
        </w:rPr>
        <w:t>針對永續報告的一些觀點而言，至少在十年前，企業很少在關於人權、健康與安全方面有直接的陳述。早期的陳述有時僅僅是虛有其表的溝通工具。</w:t>
      </w:r>
    </w:p>
    <w:p w:rsidR="00975E5B" w:rsidRPr="00E65851" w:rsidRDefault="00975E5B" w:rsidP="006D5E6D">
      <w:pPr>
        <w:spacing w:beforeLines="50" w:before="180"/>
        <w:ind w:firstLine="480"/>
        <w:rPr>
          <w:rFonts w:eastAsia="標楷體"/>
        </w:rPr>
      </w:pPr>
      <w:r w:rsidRPr="00E65851">
        <w:rPr>
          <w:rFonts w:eastAsia="標楷體"/>
        </w:rPr>
        <w:t>根據全球永續</w:t>
      </w:r>
      <w:r>
        <w:rPr>
          <w:rFonts w:eastAsia="標楷體" w:hint="eastAsia"/>
        </w:rPr>
        <w:t>性</w:t>
      </w:r>
      <w:r w:rsidRPr="00E65851">
        <w:rPr>
          <w:rFonts w:eastAsia="標楷體"/>
        </w:rPr>
        <w:t>報告協會（</w:t>
      </w:r>
      <w:r w:rsidRPr="00E65851">
        <w:rPr>
          <w:rFonts w:eastAsia="標楷體"/>
        </w:rPr>
        <w:t>GRI</w:t>
      </w:r>
      <w:r w:rsidRPr="00E65851">
        <w:rPr>
          <w:rFonts w:eastAsia="標楷體"/>
        </w:rPr>
        <w:t>）指出</w:t>
      </w:r>
      <w:r>
        <w:rPr>
          <w:rFonts w:eastAsia="標楷體" w:hint="eastAsia"/>
        </w:rPr>
        <w:t>，撰寫永續性報告書的家數</w:t>
      </w:r>
      <w:r>
        <w:rPr>
          <w:rFonts w:eastAsia="標楷體"/>
        </w:rPr>
        <w:t>從十年前的</w:t>
      </w:r>
      <w:r w:rsidRPr="00E65851">
        <w:rPr>
          <w:rFonts w:eastAsia="標楷體"/>
        </w:rPr>
        <w:t>約</w:t>
      </w:r>
      <w:r w:rsidRPr="00E65851">
        <w:rPr>
          <w:rFonts w:eastAsia="標楷體"/>
        </w:rPr>
        <w:t>25</w:t>
      </w:r>
      <w:r>
        <w:rPr>
          <w:rFonts w:eastAsia="標楷體" w:hint="eastAsia"/>
        </w:rPr>
        <w:t>家企業</w:t>
      </w:r>
      <w:r w:rsidRPr="00E65851">
        <w:rPr>
          <w:rFonts w:eastAsia="標楷體"/>
        </w:rPr>
        <w:t>開始，直至現今</w:t>
      </w:r>
      <w:r>
        <w:rPr>
          <w:rFonts w:eastAsia="標楷體"/>
        </w:rPr>
        <w:t>已</w:t>
      </w:r>
      <w:r w:rsidRPr="00E65851">
        <w:rPr>
          <w:rFonts w:eastAsia="標楷體"/>
        </w:rPr>
        <w:t>將近</w:t>
      </w:r>
      <w:r w:rsidRPr="00E65851">
        <w:rPr>
          <w:rFonts w:eastAsia="標楷體"/>
        </w:rPr>
        <w:t>8,500</w:t>
      </w:r>
      <w:r>
        <w:rPr>
          <w:rFonts w:eastAsia="標楷體" w:hint="eastAsia"/>
        </w:rPr>
        <w:t>家</w:t>
      </w:r>
      <w:r w:rsidRPr="00E65851">
        <w:rPr>
          <w:rFonts w:eastAsia="標楷體"/>
        </w:rPr>
        <w:t>。</w:t>
      </w:r>
      <w:r>
        <w:rPr>
          <w:rFonts w:eastAsia="標楷體" w:hint="eastAsia"/>
        </w:rPr>
        <w:t>撰寫</w:t>
      </w:r>
      <w:r w:rsidRPr="00E65851">
        <w:rPr>
          <w:rFonts w:eastAsia="標楷體"/>
        </w:rPr>
        <w:t>永續</w:t>
      </w:r>
      <w:r>
        <w:rPr>
          <w:rFonts w:eastAsia="標楷體" w:hint="eastAsia"/>
        </w:rPr>
        <w:t>性</w:t>
      </w:r>
      <w:r w:rsidRPr="00E65851">
        <w:rPr>
          <w:rFonts w:eastAsia="標楷體"/>
        </w:rPr>
        <w:t>報告</w:t>
      </w:r>
      <w:r>
        <w:rPr>
          <w:rFonts w:eastAsia="標楷體" w:hint="eastAsia"/>
        </w:rPr>
        <w:t>數量比率的增加，</w:t>
      </w:r>
      <w:r w:rsidRPr="00E65851">
        <w:rPr>
          <w:rFonts w:eastAsia="標楷體"/>
        </w:rPr>
        <w:t>代表著企業變革的景象與</w:t>
      </w:r>
      <w:r>
        <w:rPr>
          <w:rFonts w:eastAsia="標楷體" w:hint="eastAsia"/>
        </w:rPr>
        <w:t>隨之而來與</w:t>
      </w:r>
      <w:r w:rsidRPr="00E65851">
        <w:rPr>
          <w:rFonts w:eastAsia="標楷體"/>
        </w:rPr>
        <w:t>必要的利害關係人</w:t>
      </w:r>
      <w:proofErr w:type="gramStart"/>
      <w:r>
        <w:rPr>
          <w:rFonts w:eastAsia="標楷體" w:hint="eastAsia"/>
        </w:rPr>
        <w:t>的議合</w:t>
      </w:r>
      <w:proofErr w:type="gramEnd"/>
      <w:r w:rsidRPr="00E65851">
        <w:rPr>
          <w:rFonts w:eastAsia="標楷體"/>
        </w:rPr>
        <w:t>。</w:t>
      </w:r>
    </w:p>
    <w:p w:rsidR="00975E5B" w:rsidRPr="00E65851" w:rsidRDefault="00975E5B" w:rsidP="006D5E6D">
      <w:pPr>
        <w:spacing w:beforeLines="50" w:before="180"/>
        <w:ind w:firstLine="480"/>
        <w:rPr>
          <w:rFonts w:eastAsia="標楷體"/>
        </w:rPr>
      </w:pPr>
      <w:r w:rsidRPr="00E65851">
        <w:rPr>
          <w:rFonts w:eastAsia="標楷體"/>
        </w:rPr>
        <w:t>然而，為了</w:t>
      </w:r>
      <w:r>
        <w:rPr>
          <w:rFonts w:eastAsia="標楷體" w:hint="eastAsia"/>
        </w:rPr>
        <w:t>使投資人</w:t>
      </w:r>
      <w:r w:rsidRPr="00E65851">
        <w:rPr>
          <w:rFonts w:eastAsia="標楷體"/>
        </w:rPr>
        <w:t>做出明智的</w:t>
      </w:r>
      <w:r>
        <w:rPr>
          <w:rFonts w:eastAsia="標楷體" w:hint="eastAsia"/>
        </w:rPr>
        <w:t>、增值的以及利害關係人都支持的投資</w:t>
      </w:r>
      <w:r>
        <w:rPr>
          <w:rFonts w:eastAsia="標楷體"/>
        </w:rPr>
        <w:t>決策</w:t>
      </w:r>
      <w:r w:rsidRPr="00E65851">
        <w:rPr>
          <w:rFonts w:eastAsia="標楷體"/>
        </w:rPr>
        <w:t>，</w:t>
      </w:r>
      <w:r>
        <w:rPr>
          <w:rFonts w:eastAsia="標楷體" w:hint="eastAsia"/>
        </w:rPr>
        <w:t>就必須</w:t>
      </w:r>
      <w:r w:rsidRPr="00E65851">
        <w:rPr>
          <w:rFonts w:eastAsia="標楷體"/>
        </w:rPr>
        <w:t>取決於永續</w:t>
      </w:r>
      <w:r>
        <w:rPr>
          <w:rFonts w:eastAsia="標楷體" w:hint="eastAsia"/>
        </w:rPr>
        <w:t>性</w:t>
      </w:r>
      <w:r>
        <w:rPr>
          <w:rFonts w:eastAsia="標楷體"/>
        </w:rPr>
        <w:t>報告</w:t>
      </w:r>
      <w:r>
        <w:rPr>
          <w:rFonts w:eastAsia="標楷體" w:hint="eastAsia"/>
        </w:rPr>
        <w:t>資料</w:t>
      </w:r>
      <w:r w:rsidRPr="00E65851">
        <w:rPr>
          <w:rFonts w:eastAsia="標楷體"/>
        </w:rPr>
        <w:t>的可靠性。根據</w:t>
      </w:r>
      <w:r w:rsidRPr="00E65851">
        <w:rPr>
          <w:rFonts w:eastAsia="標楷體"/>
        </w:rPr>
        <w:t>GRI G4</w:t>
      </w:r>
      <w:r w:rsidRPr="00E65851">
        <w:rPr>
          <w:rFonts w:eastAsia="標楷體"/>
        </w:rPr>
        <w:t>指南，永續</w:t>
      </w:r>
      <w:r>
        <w:rPr>
          <w:rFonts w:eastAsia="標楷體" w:hint="eastAsia"/>
        </w:rPr>
        <w:t>性</w:t>
      </w:r>
      <w:r w:rsidRPr="00E65851">
        <w:rPr>
          <w:rFonts w:eastAsia="標楷體"/>
        </w:rPr>
        <w:t>報告</w:t>
      </w:r>
      <w:r>
        <w:rPr>
          <w:rFonts w:eastAsia="標楷體" w:hint="eastAsia"/>
        </w:rPr>
        <w:t>書</w:t>
      </w:r>
      <w:r w:rsidRPr="00E65851">
        <w:rPr>
          <w:rFonts w:eastAsia="標楷體"/>
        </w:rPr>
        <w:t>必須包含</w:t>
      </w:r>
      <w:r>
        <w:rPr>
          <w:rFonts w:eastAsia="標楷體" w:hint="eastAsia"/>
        </w:rPr>
        <w:t>重大考量面中最真實的績效訊息</w:t>
      </w:r>
      <w:r>
        <w:rPr>
          <w:rFonts w:eastAsia="標楷體" w:hint="eastAsia"/>
        </w:rPr>
        <w:t>，</w:t>
      </w:r>
      <w:r>
        <w:rPr>
          <w:rFonts w:eastAsia="標楷體" w:hint="eastAsia"/>
          <w:lang w:val="en"/>
        </w:rPr>
        <w:t>重大</w:t>
      </w:r>
      <w:r>
        <w:rPr>
          <w:rFonts w:eastAsia="標楷體" w:hint="eastAsia"/>
          <w:lang w:val="en"/>
        </w:rPr>
        <w:t>考量面</w:t>
      </w:r>
      <w:r w:rsidRPr="00E65851">
        <w:rPr>
          <w:rFonts w:eastAsia="標楷體"/>
        </w:rPr>
        <w:t>的概念</w:t>
      </w:r>
      <w:r>
        <w:rPr>
          <w:rFonts w:eastAsia="標楷體" w:hint="eastAsia"/>
        </w:rPr>
        <w:t>關係到</w:t>
      </w:r>
      <w:r w:rsidRPr="00E65851">
        <w:rPr>
          <w:rFonts w:eastAsia="標楷體"/>
        </w:rPr>
        <w:t>議題的揭露，包括環境、社會與經濟的議題，這些議題足以顯著地影響內部與外部利害關係人的決策。</w:t>
      </w:r>
    </w:p>
    <w:p w:rsidR="00975E5B" w:rsidRPr="00E65851" w:rsidRDefault="00975E5B" w:rsidP="006D5E6D">
      <w:pPr>
        <w:spacing w:beforeLines="50" w:before="180"/>
        <w:ind w:firstLine="480"/>
        <w:rPr>
          <w:rFonts w:eastAsia="標楷體"/>
        </w:rPr>
      </w:pPr>
      <w:r w:rsidRPr="00E65851">
        <w:rPr>
          <w:rFonts w:eastAsia="標楷體"/>
        </w:rPr>
        <w:t>G4</w:t>
      </w:r>
      <w:r>
        <w:rPr>
          <w:rFonts w:eastAsia="標楷體" w:hint="eastAsia"/>
        </w:rPr>
        <w:t>永續性報告</w:t>
      </w:r>
      <w:r w:rsidRPr="00E65851">
        <w:rPr>
          <w:rFonts w:eastAsia="標楷體"/>
        </w:rPr>
        <w:t>指南是一個以</w:t>
      </w:r>
      <w:r>
        <w:rPr>
          <w:rFonts w:eastAsia="標楷體" w:hint="eastAsia"/>
        </w:rPr>
        <w:t>提供</w:t>
      </w:r>
      <w:r w:rsidRPr="00E65851">
        <w:rPr>
          <w:rFonts w:eastAsia="標楷體"/>
        </w:rPr>
        <w:t>基礎撰寫永續報告</w:t>
      </w:r>
      <w:r>
        <w:rPr>
          <w:rFonts w:eastAsia="標楷體" w:hint="eastAsia"/>
        </w:rPr>
        <w:t>書</w:t>
      </w:r>
      <w:r>
        <w:rPr>
          <w:rFonts w:eastAsia="標楷體"/>
        </w:rPr>
        <w:t>方法</w:t>
      </w:r>
      <w:r w:rsidR="006D5E6D">
        <w:rPr>
          <w:rFonts w:eastAsia="標楷體"/>
        </w:rPr>
        <w:t>的</w:t>
      </w:r>
      <w:r w:rsidR="006D5E6D">
        <w:rPr>
          <w:rFonts w:eastAsia="標楷體" w:hint="eastAsia"/>
        </w:rPr>
        <w:t>原則</w:t>
      </w:r>
      <w:r>
        <w:rPr>
          <w:rFonts w:eastAsia="標楷體"/>
        </w:rPr>
        <w:t>，並且</w:t>
      </w:r>
      <w:r>
        <w:rPr>
          <w:rFonts w:eastAsia="標楷體" w:hint="eastAsia"/>
        </w:rPr>
        <w:t>能預期</w:t>
      </w:r>
      <w:r w:rsidRPr="00E65851">
        <w:rPr>
          <w:rFonts w:eastAsia="標楷體"/>
        </w:rPr>
        <w:t>這新一代的永續報告</w:t>
      </w:r>
      <w:r>
        <w:rPr>
          <w:rFonts w:eastAsia="標楷體" w:hint="eastAsia"/>
        </w:rPr>
        <w:t>指南</w:t>
      </w:r>
      <w:r w:rsidRPr="00E65851">
        <w:rPr>
          <w:rFonts w:eastAsia="標楷體"/>
        </w:rPr>
        <w:t>將廣泛於亞洲</w:t>
      </w:r>
      <w:r>
        <w:rPr>
          <w:rFonts w:eastAsia="標楷體" w:hint="eastAsia"/>
        </w:rPr>
        <w:t>所</w:t>
      </w:r>
      <w:r w:rsidRPr="00E65851">
        <w:rPr>
          <w:rFonts w:eastAsia="標楷體"/>
        </w:rPr>
        <w:t>採用。雖然這樣的</w:t>
      </w:r>
      <w:r>
        <w:rPr>
          <w:rFonts w:eastAsia="標楷體"/>
        </w:rPr>
        <w:t>進展令人鼓舞，但仍</w:t>
      </w:r>
      <w:r>
        <w:rPr>
          <w:rFonts w:eastAsia="標楷體" w:hint="eastAsia"/>
        </w:rPr>
        <w:t>具有</w:t>
      </w:r>
      <w:r w:rsidRPr="00E65851">
        <w:rPr>
          <w:rFonts w:eastAsia="標楷體"/>
        </w:rPr>
        <w:t>挑戰，</w:t>
      </w:r>
      <w:r>
        <w:rPr>
          <w:rFonts w:eastAsia="標楷體" w:hint="eastAsia"/>
        </w:rPr>
        <w:t>因永續性</w:t>
      </w:r>
      <w:r w:rsidRPr="00E65851">
        <w:rPr>
          <w:rFonts w:eastAsia="標楷體"/>
        </w:rPr>
        <w:t>報告在很大的程度上仍然是自願的，且績效資料的保證性仍</w:t>
      </w:r>
      <w:r>
        <w:rPr>
          <w:rFonts w:eastAsia="標楷體" w:hint="eastAsia"/>
        </w:rPr>
        <w:t>相當</w:t>
      </w:r>
      <w:r w:rsidRPr="00E65851">
        <w:rPr>
          <w:rFonts w:eastAsia="標楷體"/>
        </w:rPr>
        <w:t>有限。馬來西亞、新加坡與香港等國家與地區</w:t>
      </w:r>
      <w:r>
        <w:rPr>
          <w:rFonts w:eastAsia="標楷體" w:hint="eastAsia"/>
        </w:rPr>
        <w:t>已開始訂定法規</w:t>
      </w:r>
      <w:r w:rsidRPr="00E65851">
        <w:rPr>
          <w:rFonts w:eastAsia="標楷體"/>
        </w:rPr>
        <w:t>推動</w:t>
      </w:r>
      <w:r>
        <w:rPr>
          <w:rFonts w:eastAsia="標楷體" w:hint="eastAsia"/>
        </w:rPr>
        <w:t>企業須</w:t>
      </w:r>
      <w:r>
        <w:rPr>
          <w:rFonts w:eastAsia="標楷體"/>
        </w:rPr>
        <w:t>強制</w:t>
      </w:r>
      <w:r w:rsidRPr="00E65851">
        <w:rPr>
          <w:rFonts w:eastAsia="標楷體"/>
        </w:rPr>
        <w:t>揭露</w:t>
      </w:r>
      <w:r>
        <w:rPr>
          <w:rFonts w:eastAsia="標楷體" w:hint="eastAsia"/>
        </w:rPr>
        <w:t>永續性報告書</w:t>
      </w:r>
      <w:r>
        <w:rPr>
          <w:rFonts w:eastAsia="標楷體"/>
        </w:rPr>
        <w:t>，但企業仍然傾向僅</w:t>
      </w:r>
      <w:r>
        <w:rPr>
          <w:rFonts w:eastAsia="標楷體" w:hint="eastAsia"/>
        </w:rPr>
        <w:t>揭露</w:t>
      </w:r>
      <w:r>
        <w:rPr>
          <w:rFonts w:eastAsia="標楷體"/>
        </w:rPr>
        <w:t>正面的</w:t>
      </w:r>
      <w:r>
        <w:rPr>
          <w:rFonts w:eastAsia="標楷體" w:hint="eastAsia"/>
        </w:rPr>
        <w:t>績效</w:t>
      </w:r>
      <w:r w:rsidRPr="00E65851">
        <w:rPr>
          <w:rFonts w:eastAsia="標楷體"/>
        </w:rPr>
        <w:t>。</w:t>
      </w:r>
      <w:r>
        <w:rPr>
          <w:rFonts w:eastAsia="標楷體"/>
        </w:rPr>
        <w:t>這並不</w:t>
      </w:r>
      <w:r>
        <w:rPr>
          <w:rFonts w:eastAsia="標楷體" w:hint="eastAsia"/>
        </w:rPr>
        <w:t>表示</w:t>
      </w:r>
      <w:r>
        <w:rPr>
          <w:rFonts w:eastAsia="標楷體"/>
        </w:rPr>
        <w:t>負面的</w:t>
      </w:r>
      <w:r>
        <w:rPr>
          <w:rFonts w:eastAsia="標楷體" w:hint="eastAsia"/>
        </w:rPr>
        <w:t>績效能</w:t>
      </w:r>
      <w:r>
        <w:rPr>
          <w:rFonts w:eastAsia="標楷體"/>
        </w:rPr>
        <w:t>被忽略或</w:t>
      </w:r>
      <w:r>
        <w:rPr>
          <w:rFonts w:eastAsia="標楷體" w:hint="eastAsia"/>
        </w:rPr>
        <w:t>被</w:t>
      </w:r>
      <w:r>
        <w:rPr>
          <w:rFonts w:eastAsia="標楷體"/>
        </w:rPr>
        <w:t>完全</w:t>
      </w:r>
      <w:r>
        <w:rPr>
          <w:rFonts w:eastAsia="標楷體" w:hint="eastAsia"/>
        </w:rPr>
        <w:t>無視</w:t>
      </w:r>
      <w:r w:rsidRPr="00E65851">
        <w:rPr>
          <w:rFonts w:eastAsia="標楷體"/>
        </w:rPr>
        <w:t>，而是他們這樣的表現主要是因為</w:t>
      </w:r>
      <w:proofErr w:type="gramStart"/>
      <w:r w:rsidRPr="00E65851">
        <w:rPr>
          <w:rFonts w:eastAsia="標楷體"/>
        </w:rPr>
        <w:t>不</w:t>
      </w:r>
      <w:proofErr w:type="gramEnd"/>
      <w:r w:rsidRPr="00E65851">
        <w:rPr>
          <w:rFonts w:eastAsia="標楷體"/>
        </w:rPr>
        <w:t>瞭解永續</w:t>
      </w:r>
      <w:r>
        <w:rPr>
          <w:rFonts w:eastAsia="標楷體" w:hint="eastAsia"/>
        </w:rPr>
        <w:t>性</w:t>
      </w:r>
      <w:r>
        <w:rPr>
          <w:rFonts w:eastAsia="標楷體"/>
        </w:rPr>
        <w:t>報告策略</w:t>
      </w:r>
      <w:r>
        <w:rPr>
          <w:rFonts w:eastAsia="標楷體" w:hint="eastAsia"/>
        </w:rPr>
        <w:t>的</w:t>
      </w:r>
      <w:r w:rsidRPr="00E65851">
        <w:rPr>
          <w:rFonts w:eastAsia="標楷體"/>
        </w:rPr>
        <w:t>角色。</w:t>
      </w:r>
    </w:p>
    <w:p w:rsidR="00975E5B" w:rsidRPr="00E65851" w:rsidRDefault="00975E5B" w:rsidP="006D5E6D">
      <w:pPr>
        <w:spacing w:beforeLines="50" w:before="180"/>
        <w:ind w:firstLine="480"/>
        <w:rPr>
          <w:rFonts w:eastAsia="標楷體"/>
        </w:rPr>
      </w:pPr>
      <w:r w:rsidRPr="00E65851">
        <w:rPr>
          <w:rFonts w:eastAsia="標楷體"/>
        </w:rPr>
        <w:t>倘若運用得當，永續</w:t>
      </w:r>
      <w:r>
        <w:rPr>
          <w:rFonts w:eastAsia="標楷體" w:hint="eastAsia"/>
        </w:rPr>
        <w:t>性</w:t>
      </w:r>
      <w:r>
        <w:rPr>
          <w:rFonts w:eastAsia="標楷體"/>
        </w:rPr>
        <w:t>報告</w:t>
      </w:r>
      <w:r w:rsidR="006D5E6D">
        <w:rPr>
          <w:rFonts w:eastAsia="標楷體" w:hint="eastAsia"/>
        </w:rPr>
        <w:t>將</w:t>
      </w:r>
      <w:r>
        <w:rPr>
          <w:rFonts w:eastAsia="標楷體"/>
        </w:rPr>
        <w:t>有助於</w:t>
      </w:r>
      <w:r>
        <w:rPr>
          <w:rFonts w:eastAsia="標楷體" w:hint="eastAsia"/>
        </w:rPr>
        <w:t>調整</w:t>
      </w:r>
      <w:r w:rsidRPr="00E65851">
        <w:rPr>
          <w:rFonts w:eastAsia="標楷體"/>
        </w:rPr>
        <w:t>企業</w:t>
      </w:r>
      <w:r>
        <w:rPr>
          <w:rFonts w:eastAsia="標楷體" w:hint="eastAsia"/>
        </w:rPr>
        <w:t>在</w:t>
      </w:r>
      <w:r w:rsidRPr="00E65851">
        <w:rPr>
          <w:rFonts w:eastAsia="標楷體"/>
        </w:rPr>
        <w:t>營運中</w:t>
      </w:r>
      <w:r>
        <w:rPr>
          <w:rFonts w:eastAsia="標楷體" w:hint="eastAsia"/>
        </w:rPr>
        <w:t>對於</w:t>
      </w:r>
      <w:r>
        <w:rPr>
          <w:rFonts w:eastAsia="標楷體"/>
        </w:rPr>
        <w:t>環境、社會與治理的風險及利害關係人</w:t>
      </w:r>
      <w:r w:rsidRPr="00E65851">
        <w:rPr>
          <w:rFonts w:eastAsia="標楷體"/>
        </w:rPr>
        <w:t>利益</w:t>
      </w:r>
      <w:r>
        <w:rPr>
          <w:rFonts w:eastAsia="標楷體" w:hint="eastAsia"/>
        </w:rPr>
        <w:t>的策略</w:t>
      </w:r>
      <w:r w:rsidRPr="00E65851">
        <w:rPr>
          <w:rFonts w:eastAsia="標楷體"/>
        </w:rPr>
        <w:t>，最終，</w:t>
      </w:r>
      <w:r>
        <w:rPr>
          <w:rFonts w:eastAsia="標楷體" w:hint="eastAsia"/>
        </w:rPr>
        <w:t>企業可透過非財務績效的揭露來</w:t>
      </w:r>
      <w:r>
        <w:rPr>
          <w:rFonts w:eastAsia="標楷體"/>
        </w:rPr>
        <w:t>補足</w:t>
      </w:r>
      <w:r w:rsidRPr="00E65851">
        <w:rPr>
          <w:rFonts w:eastAsia="標楷體"/>
        </w:rPr>
        <w:t>財務績效</w:t>
      </w:r>
      <w:r>
        <w:rPr>
          <w:rFonts w:eastAsia="標楷體" w:hint="eastAsia"/>
        </w:rPr>
        <w:t>的不足</w:t>
      </w:r>
      <w:r w:rsidRPr="00E65851">
        <w:rPr>
          <w:rFonts w:eastAsia="標楷體"/>
        </w:rPr>
        <w:t>。當有明確的目標，以及年復一年失敗與成功的追蹤分析，將</w:t>
      </w:r>
      <w:r w:rsidR="006D5E6D">
        <w:rPr>
          <w:rFonts w:eastAsia="標楷體" w:hint="eastAsia"/>
        </w:rPr>
        <w:t>有助於</w:t>
      </w:r>
      <w:r w:rsidRPr="00E65851">
        <w:rPr>
          <w:rFonts w:eastAsia="標楷體"/>
        </w:rPr>
        <w:t>樹立</w:t>
      </w:r>
      <w:r w:rsidR="006D5E6D">
        <w:rPr>
          <w:rFonts w:eastAsia="標楷體" w:hint="eastAsia"/>
        </w:rPr>
        <w:t>更</w:t>
      </w:r>
      <w:r w:rsidRPr="00E65851">
        <w:rPr>
          <w:rFonts w:eastAsia="標楷體"/>
        </w:rPr>
        <w:t>具透明度的企業文化，漸增的透明度將會轉化為建立長期的信任與信譽。</w:t>
      </w:r>
    </w:p>
    <w:p w:rsidR="00975E5B" w:rsidRPr="00987063" w:rsidRDefault="00975E5B" w:rsidP="006D5E6D">
      <w:pPr>
        <w:spacing w:beforeLines="50" w:before="180"/>
        <w:ind w:firstLine="480"/>
        <w:rPr>
          <w:rFonts w:ascii="Times New Roman" w:eastAsia="標楷體" w:hAnsi="Times New Roman" w:cs="Times New Roman"/>
        </w:rPr>
      </w:pPr>
      <w:r w:rsidRPr="00E65851">
        <w:rPr>
          <w:rFonts w:eastAsia="標楷體"/>
        </w:rPr>
        <w:t>變幻莫測的全球趨勢影響著亞洲企業，永續</w:t>
      </w:r>
      <w:r>
        <w:rPr>
          <w:rFonts w:eastAsia="標楷體" w:hint="eastAsia"/>
        </w:rPr>
        <w:t>性</w:t>
      </w:r>
      <w:r w:rsidRPr="00E65851">
        <w:rPr>
          <w:rFonts w:eastAsia="標楷體"/>
        </w:rPr>
        <w:t>報告不能</w:t>
      </w:r>
      <w:r>
        <w:rPr>
          <w:rFonts w:eastAsia="標楷體" w:hint="eastAsia"/>
        </w:rPr>
        <w:t>流於只是</w:t>
      </w:r>
      <w:r w:rsidRPr="00E65851">
        <w:rPr>
          <w:rFonts w:eastAsia="標楷體"/>
        </w:rPr>
        <w:t>個靜態的日常工作事項。這段旅程</w:t>
      </w:r>
      <w:r>
        <w:rPr>
          <w:rFonts w:eastAsia="標楷體" w:hint="eastAsia"/>
        </w:rPr>
        <w:t>將對</w:t>
      </w:r>
      <w:r w:rsidRPr="00E65851">
        <w:rPr>
          <w:rFonts w:eastAsia="標楷體"/>
        </w:rPr>
        <w:t>每</w:t>
      </w:r>
      <w:proofErr w:type="gramStart"/>
      <w:r w:rsidRPr="00E65851">
        <w:rPr>
          <w:rFonts w:eastAsia="標楷體"/>
        </w:rPr>
        <w:t>個</w:t>
      </w:r>
      <w:proofErr w:type="gramEnd"/>
      <w:r w:rsidRPr="00E65851">
        <w:rPr>
          <w:rFonts w:eastAsia="標楷體"/>
        </w:rPr>
        <w:t>組織而言不盡相同，但連結他們的共同點是不斷地追求新的方法以更完整地報導永續</w:t>
      </w:r>
      <w:r>
        <w:rPr>
          <w:rFonts w:eastAsia="標楷體" w:hint="eastAsia"/>
        </w:rPr>
        <w:t>性</w:t>
      </w:r>
      <w:r w:rsidRPr="00E65851">
        <w:rPr>
          <w:rFonts w:eastAsia="標楷體"/>
        </w:rPr>
        <w:t>相關資訊的進展與揭露。隨著時間的推移，那些致力於穩健溝通的組織將會體認到永續</w:t>
      </w:r>
      <w:r>
        <w:rPr>
          <w:rFonts w:eastAsia="標楷體" w:hint="eastAsia"/>
        </w:rPr>
        <w:t>性</w:t>
      </w:r>
      <w:r w:rsidRPr="00E65851">
        <w:rPr>
          <w:rFonts w:eastAsia="標楷體"/>
        </w:rPr>
        <w:t>報告是一種增值的工具，而不是一個痛苦的資料追蹤過程。</w:t>
      </w:r>
    </w:p>
    <w:sectPr w:rsidR="00975E5B" w:rsidRPr="0098706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D85" w:rsidRDefault="00F64D85" w:rsidP="005A7FE5">
      <w:r>
        <w:separator/>
      </w:r>
    </w:p>
  </w:endnote>
  <w:endnote w:type="continuationSeparator" w:id="0">
    <w:p w:rsidR="00F64D85" w:rsidRDefault="00F64D85" w:rsidP="005A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D85" w:rsidRDefault="00F64D85" w:rsidP="005A7FE5">
      <w:r>
        <w:separator/>
      </w:r>
    </w:p>
  </w:footnote>
  <w:footnote w:type="continuationSeparator" w:id="0">
    <w:p w:rsidR="00F64D85" w:rsidRDefault="00F64D85" w:rsidP="005A7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24793"/>
    <w:multiLevelType w:val="hybridMultilevel"/>
    <w:tmpl w:val="AA68C5D8"/>
    <w:lvl w:ilvl="0" w:tplc="7C30AB5E">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F831383"/>
    <w:multiLevelType w:val="hybridMultilevel"/>
    <w:tmpl w:val="936E5208"/>
    <w:lvl w:ilvl="0" w:tplc="0D607D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0D"/>
    <w:rsid w:val="0005290A"/>
    <w:rsid w:val="000570EC"/>
    <w:rsid w:val="000F246B"/>
    <w:rsid w:val="00172399"/>
    <w:rsid w:val="001D5CE3"/>
    <w:rsid w:val="001F7071"/>
    <w:rsid w:val="002355BF"/>
    <w:rsid w:val="00252E95"/>
    <w:rsid w:val="00291DA3"/>
    <w:rsid w:val="002B4866"/>
    <w:rsid w:val="00397489"/>
    <w:rsid w:val="003C3D0D"/>
    <w:rsid w:val="004E6441"/>
    <w:rsid w:val="005A7FE5"/>
    <w:rsid w:val="005C517D"/>
    <w:rsid w:val="006D5E6D"/>
    <w:rsid w:val="0072464F"/>
    <w:rsid w:val="0072619B"/>
    <w:rsid w:val="007E7D84"/>
    <w:rsid w:val="00886848"/>
    <w:rsid w:val="00975E5B"/>
    <w:rsid w:val="00987063"/>
    <w:rsid w:val="00B070E5"/>
    <w:rsid w:val="00BE5452"/>
    <w:rsid w:val="00CB2369"/>
    <w:rsid w:val="00CB6E35"/>
    <w:rsid w:val="00CD1594"/>
    <w:rsid w:val="00DD27CD"/>
    <w:rsid w:val="00DD3BDB"/>
    <w:rsid w:val="00EA5664"/>
    <w:rsid w:val="00EE7922"/>
    <w:rsid w:val="00F64D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FE5"/>
    <w:pPr>
      <w:widowControl w:val="0"/>
    </w:pPr>
  </w:style>
  <w:style w:type="paragraph" w:styleId="3">
    <w:name w:val="heading 3"/>
    <w:basedOn w:val="a"/>
    <w:link w:val="30"/>
    <w:uiPriority w:val="9"/>
    <w:qFormat/>
    <w:rsid w:val="00252E9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FE5"/>
    <w:pPr>
      <w:tabs>
        <w:tab w:val="center" w:pos="4153"/>
        <w:tab w:val="right" w:pos="8306"/>
      </w:tabs>
      <w:snapToGrid w:val="0"/>
    </w:pPr>
    <w:rPr>
      <w:sz w:val="20"/>
      <w:szCs w:val="20"/>
    </w:rPr>
  </w:style>
  <w:style w:type="character" w:customStyle="1" w:styleId="a4">
    <w:name w:val="頁首 字元"/>
    <w:basedOn w:val="a0"/>
    <w:link w:val="a3"/>
    <w:uiPriority w:val="99"/>
    <w:rsid w:val="005A7FE5"/>
    <w:rPr>
      <w:sz w:val="20"/>
      <w:szCs w:val="20"/>
    </w:rPr>
  </w:style>
  <w:style w:type="paragraph" w:styleId="a5">
    <w:name w:val="footer"/>
    <w:basedOn w:val="a"/>
    <w:link w:val="a6"/>
    <w:uiPriority w:val="99"/>
    <w:unhideWhenUsed/>
    <w:rsid w:val="005A7FE5"/>
    <w:pPr>
      <w:tabs>
        <w:tab w:val="center" w:pos="4153"/>
        <w:tab w:val="right" w:pos="8306"/>
      </w:tabs>
      <w:snapToGrid w:val="0"/>
    </w:pPr>
    <w:rPr>
      <w:sz w:val="20"/>
      <w:szCs w:val="20"/>
    </w:rPr>
  </w:style>
  <w:style w:type="character" w:customStyle="1" w:styleId="a6">
    <w:name w:val="頁尾 字元"/>
    <w:basedOn w:val="a0"/>
    <w:link w:val="a5"/>
    <w:uiPriority w:val="99"/>
    <w:rsid w:val="005A7FE5"/>
    <w:rPr>
      <w:sz w:val="20"/>
      <w:szCs w:val="20"/>
    </w:rPr>
  </w:style>
  <w:style w:type="paragraph" w:styleId="a7">
    <w:name w:val="List Paragraph"/>
    <w:basedOn w:val="a"/>
    <w:uiPriority w:val="34"/>
    <w:qFormat/>
    <w:rsid w:val="005A7FE5"/>
    <w:pPr>
      <w:ind w:leftChars="200" w:left="480"/>
    </w:pPr>
  </w:style>
  <w:style w:type="character" w:styleId="a8">
    <w:name w:val="Hyperlink"/>
    <w:basedOn w:val="a0"/>
    <w:uiPriority w:val="99"/>
    <w:unhideWhenUsed/>
    <w:rsid w:val="005A7FE5"/>
    <w:rPr>
      <w:color w:val="0000FF" w:themeColor="hyperlink"/>
      <w:u w:val="single"/>
    </w:rPr>
  </w:style>
  <w:style w:type="character" w:styleId="a9">
    <w:name w:val="FollowedHyperlink"/>
    <w:basedOn w:val="a0"/>
    <w:uiPriority w:val="99"/>
    <w:semiHidden/>
    <w:unhideWhenUsed/>
    <w:rsid w:val="005A7FE5"/>
    <w:rPr>
      <w:color w:val="800080" w:themeColor="followedHyperlink"/>
      <w:u w:val="single"/>
    </w:rPr>
  </w:style>
  <w:style w:type="character" w:customStyle="1" w:styleId="apple-converted-space">
    <w:name w:val="apple-converted-space"/>
    <w:basedOn w:val="a0"/>
    <w:rsid w:val="00CD1594"/>
  </w:style>
  <w:style w:type="character" w:styleId="aa">
    <w:name w:val="Emphasis"/>
    <w:basedOn w:val="a0"/>
    <w:uiPriority w:val="20"/>
    <w:qFormat/>
    <w:rsid w:val="00CD1594"/>
    <w:rPr>
      <w:i/>
      <w:iCs/>
    </w:rPr>
  </w:style>
  <w:style w:type="character" w:customStyle="1" w:styleId="30">
    <w:name w:val="標題 3 字元"/>
    <w:basedOn w:val="a0"/>
    <w:link w:val="3"/>
    <w:uiPriority w:val="9"/>
    <w:rsid w:val="00252E95"/>
    <w:rPr>
      <w:rFonts w:ascii="新細明體" w:eastAsia="新細明體" w:hAnsi="新細明體" w:cs="新細明體"/>
      <w:b/>
      <w:bCs/>
      <w:kern w:val="0"/>
      <w:sz w:val="27"/>
      <w:szCs w:val="27"/>
    </w:rPr>
  </w:style>
  <w:style w:type="paragraph" w:styleId="Web">
    <w:name w:val="Normal (Web)"/>
    <w:basedOn w:val="a"/>
    <w:uiPriority w:val="99"/>
    <w:unhideWhenUsed/>
    <w:rsid w:val="00975E5B"/>
    <w:pPr>
      <w:widowControl/>
      <w:spacing w:after="150"/>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FE5"/>
    <w:pPr>
      <w:widowControl w:val="0"/>
    </w:pPr>
  </w:style>
  <w:style w:type="paragraph" w:styleId="3">
    <w:name w:val="heading 3"/>
    <w:basedOn w:val="a"/>
    <w:link w:val="30"/>
    <w:uiPriority w:val="9"/>
    <w:qFormat/>
    <w:rsid w:val="00252E9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FE5"/>
    <w:pPr>
      <w:tabs>
        <w:tab w:val="center" w:pos="4153"/>
        <w:tab w:val="right" w:pos="8306"/>
      </w:tabs>
      <w:snapToGrid w:val="0"/>
    </w:pPr>
    <w:rPr>
      <w:sz w:val="20"/>
      <w:szCs w:val="20"/>
    </w:rPr>
  </w:style>
  <w:style w:type="character" w:customStyle="1" w:styleId="a4">
    <w:name w:val="頁首 字元"/>
    <w:basedOn w:val="a0"/>
    <w:link w:val="a3"/>
    <w:uiPriority w:val="99"/>
    <w:rsid w:val="005A7FE5"/>
    <w:rPr>
      <w:sz w:val="20"/>
      <w:szCs w:val="20"/>
    </w:rPr>
  </w:style>
  <w:style w:type="paragraph" w:styleId="a5">
    <w:name w:val="footer"/>
    <w:basedOn w:val="a"/>
    <w:link w:val="a6"/>
    <w:uiPriority w:val="99"/>
    <w:unhideWhenUsed/>
    <w:rsid w:val="005A7FE5"/>
    <w:pPr>
      <w:tabs>
        <w:tab w:val="center" w:pos="4153"/>
        <w:tab w:val="right" w:pos="8306"/>
      </w:tabs>
      <w:snapToGrid w:val="0"/>
    </w:pPr>
    <w:rPr>
      <w:sz w:val="20"/>
      <w:szCs w:val="20"/>
    </w:rPr>
  </w:style>
  <w:style w:type="character" w:customStyle="1" w:styleId="a6">
    <w:name w:val="頁尾 字元"/>
    <w:basedOn w:val="a0"/>
    <w:link w:val="a5"/>
    <w:uiPriority w:val="99"/>
    <w:rsid w:val="005A7FE5"/>
    <w:rPr>
      <w:sz w:val="20"/>
      <w:szCs w:val="20"/>
    </w:rPr>
  </w:style>
  <w:style w:type="paragraph" w:styleId="a7">
    <w:name w:val="List Paragraph"/>
    <w:basedOn w:val="a"/>
    <w:uiPriority w:val="34"/>
    <w:qFormat/>
    <w:rsid w:val="005A7FE5"/>
    <w:pPr>
      <w:ind w:leftChars="200" w:left="480"/>
    </w:pPr>
  </w:style>
  <w:style w:type="character" w:styleId="a8">
    <w:name w:val="Hyperlink"/>
    <w:basedOn w:val="a0"/>
    <w:uiPriority w:val="99"/>
    <w:unhideWhenUsed/>
    <w:rsid w:val="005A7FE5"/>
    <w:rPr>
      <w:color w:val="0000FF" w:themeColor="hyperlink"/>
      <w:u w:val="single"/>
    </w:rPr>
  </w:style>
  <w:style w:type="character" w:styleId="a9">
    <w:name w:val="FollowedHyperlink"/>
    <w:basedOn w:val="a0"/>
    <w:uiPriority w:val="99"/>
    <w:semiHidden/>
    <w:unhideWhenUsed/>
    <w:rsid w:val="005A7FE5"/>
    <w:rPr>
      <w:color w:val="800080" w:themeColor="followedHyperlink"/>
      <w:u w:val="single"/>
    </w:rPr>
  </w:style>
  <w:style w:type="character" w:customStyle="1" w:styleId="apple-converted-space">
    <w:name w:val="apple-converted-space"/>
    <w:basedOn w:val="a0"/>
    <w:rsid w:val="00CD1594"/>
  </w:style>
  <w:style w:type="character" w:styleId="aa">
    <w:name w:val="Emphasis"/>
    <w:basedOn w:val="a0"/>
    <w:uiPriority w:val="20"/>
    <w:qFormat/>
    <w:rsid w:val="00CD1594"/>
    <w:rPr>
      <w:i/>
      <w:iCs/>
    </w:rPr>
  </w:style>
  <w:style w:type="character" w:customStyle="1" w:styleId="30">
    <w:name w:val="標題 3 字元"/>
    <w:basedOn w:val="a0"/>
    <w:link w:val="3"/>
    <w:uiPriority w:val="9"/>
    <w:rsid w:val="00252E95"/>
    <w:rPr>
      <w:rFonts w:ascii="新細明體" w:eastAsia="新細明體" w:hAnsi="新細明體" w:cs="新細明體"/>
      <w:b/>
      <w:bCs/>
      <w:kern w:val="0"/>
      <w:sz w:val="27"/>
      <w:szCs w:val="27"/>
    </w:rPr>
  </w:style>
  <w:style w:type="paragraph" w:styleId="Web">
    <w:name w:val="Normal (Web)"/>
    <w:basedOn w:val="a"/>
    <w:uiPriority w:val="99"/>
    <w:unhideWhenUsed/>
    <w:rsid w:val="00975E5B"/>
    <w:pPr>
      <w:widowControl/>
      <w:spacing w:after="15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569855">
      <w:bodyDiv w:val="1"/>
      <w:marLeft w:val="0"/>
      <w:marRight w:val="0"/>
      <w:marTop w:val="0"/>
      <w:marBottom w:val="0"/>
      <w:divBdr>
        <w:top w:val="none" w:sz="0" w:space="0" w:color="auto"/>
        <w:left w:val="none" w:sz="0" w:space="0" w:color="auto"/>
        <w:bottom w:val="none" w:sz="0" w:space="0" w:color="auto"/>
        <w:right w:val="none" w:sz="0" w:space="0" w:color="auto"/>
      </w:divBdr>
      <w:divsChild>
        <w:div w:id="1284114125">
          <w:marLeft w:val="0"/>
          <w:marRight w:val="0"/>
          <w:marTop w:val="0"/>
          <w:marBottom w:val="150"/>
          <w:divBdr>
            <w:top w:val="none" w:sz="0" w:space="0" w:color="auto"/>
            <w:left w:val="none" w:sz="0" w:space="0" w:color="auto"/>
            <w:bottom w:val="none" w:sz="0" w:space="0" w:color="auto"/>
            <w:right w:val="none" w:sz="0" w:space="0" w:color="auto"/>
          </w:divBdr>
          <w:divsChild>
            <w:div w:id="772169156">
              <w:marLeft w:val="0"/>
              <w:marRight w:val="0"/>
              <w:marTop w:val="0"/>
              <w:marBottom w:val="0"/>
              <w:divBdr>
                <w:top w:val="none" w:sz="0" w:space="0" w:color="auto"/>
                <w:left w:val="none" w:sz="0" w:space="0" w:color="auto"/>
                <w:bottom w:val="none" w:sz="0" w:space="0" w:color="auto"/>
                <w:right w:val="none" w:sz="0" w:space="0" w:color="auto"/>
              </w:divBdr>
            </w:div>
          </w:divsChild>
        </w:div>
        <w:div w:id="410005862">
          <w:marLeft w:val="0"/>
          <w:marRight w:val="0"/>
          <w:marTop w:val="0"/>
          <w:marBottom w:val="0"/>
          <w:divBdr>
            <w:top w:val="none" w:sz="0" w:space="0" w:color="auto"/>
            <w:left w:val="none" w:sz="0" w:space="0" w:color="auto"/>
            <w:bottom w:val="none" w:sz="0" w:space="0" w:color="auto"/>
            <w:right w:val="none" w:sz="0" w:space="0" w:color="auto"/>
          </w:divBdr>
          <w:divsChild>
            <w:div w:id="1526286652">
              <w:marLeft w:val="0"/>
              <w:marRight w:val="0"/>
              <w:marTop w:val="0"/>
              <w:marBottom w:val="0"/>
              <w:divBdr>
                <w:top w:val="none" w:sz="0" w:space="0" w:color="auto"/>
                <w:left w:val="none" w:sz="0" w:space="0" w:color="auto"/>
                <w:bottom w:val="none" w:sz="0" w:space="0" w:color="auto"/>
                <w:right w:val="none" w:sz="0" w:space="0" w:color="auto"/>
              </w:divBdr>
              <w:divsChild>
                <w:div w:id="1367095249">
                  <w:marLeft w:val="0"/>
                  <w:marRight w:val="0"/>
                  <w:marTop w:val="0"/>
                  <w:marBottom w:val="0"/>
                  <w:divBdr>
                    <w:top w:val="none" w:sz="0" w:space="0" w:color="auto"/>
                    <w:left w:val="none" w:sz="0" w:space="0" w:color="auto"/>
                    <w:bottom w:val="none" w:sz="0" w:space="0" w:color="auto"/>
                    <w:right w:val="none" w:sz="0" w:space="0" w:color="auto"/>
                  </w:divBdr>
                  <w:divsChild>
                    <w:div w:id="1632132254">
                      <w:marLeft w:val="0"/>
                      <w:marRight w:val="0"/>
                      <w:marTop w:val="0"/>
                      <w:marBottom w:val="0"/>
                      <w:divBdr>
                        <w:top w:val="none" w:sz="0" w:space="0" w:color="auto"/>
                        <w:left w:val="none" w:sz="0" w:space="0" w:color="auto"/>
                        <w:bottom w:val="none" w:sz="0" w:space="0" w:color="auto"/>
                        <w:right w:val="none" w:sz="0" w:space="0" w:color="auto"/>
                      </w:divBdr>
                    </w:div>
                    <w:div w:id="783579142">
                      <w:marLeft w:val="0"/>
                      <w:marRight w:val="0"/>
                      <w:marTop w:val="0"/>
                      <w:marBottom w:val="0"/>
                      <w:divBdr>
                        <w:top w:val="none" w:sz="0" w:space="0" w:color="auto"/>
                        <w:left w:val="none" w:sz="0" w:space="0" w:color="auto"/>
                        <w:bottom w:val="none" w:sz="0" w:space="0" w:color="auto"/>
                        <w:right w:val="none" w:sz="0" w:space="0" w:color="auto"/>
                      </w:divBdr>
                    </w:div>
                    <w:div w:id="906720314">
                      <w:marLeft w:val="0"/>
                      <w:marRight w:val="0"/>
                      <w:marTop w:val="0"/>
                      <w:marBottom w:val="0"/>
                      <w:divBdr>
                        <w:top w:val="none" w:sz="0" w:space="0" w:color="auto"/>
                        <w:left w:val="none" w:sz="0" w:space="0" w:color="auto"/>
                        <w:bottom w:val="none" w:sz="0" w:space="0" w:color="auto"/>
                        <w:right w:val="none" w:sz="0" w:space="0" w:color="auto"/>
                      </w:divBdr>
                    </w:div>
                    <w:div w:id="196162694">
                      <w:marLeft w:val="0"/>
                      <w:marRight w:val="0"/>
                      <w:marTop w:val="0"/>
                      <w:marBottom w:val="0"/>
                      <w:divBdr>
                        <w:top w:val="none" w:sz="0" w:space="0" w:color="auto"/>
                        <w:left w:val="none" w:sz="0" w:space="0" w:color="auto"/>
                        <w:bottom w:val="none" w:sz="0" w:space="0" w:color="auto"/>
                        <w:right w:val="none" w:sz="0" w:space="0" w:color="auto"/>
                      </w:divBdr>
                    </w:div>
                    <w:div w:id="173963606">
                      <w:marLeft w:val="0"/>
                      <w:marRight w:val="0"/>
                      <w:marTop w:val="0"/>
                      <w:marBottom w:val="0"/>
                      <w:divBdr>
                        <w:top w:val="none" w:sz="0" w:space="0" w:color="auto"/>
                        <w:left w:val="none" w:sz="0" w:space="0" w:color="auto"/>
                        <w:bottom w:val="none" w:sz="0" w:space="0" w:color="auto"/>
                        <w:right w:val="none" w:sz="0" w:space="0" w:color="auto"/>
                      </w:divBdr>
                    </w:div>
                    <w:div w:id="258409823">
                      <w:marLeft w:val="0"/>
                      <w:marRight w:val="0"/>
                      <w:marTop w:val="0"/>
                      <w:marBottom w:val="0"/>
                      <w:divBdr>
                        <w:top w:val="none" w:sz="0" w:space="0" w:color="auto"/>
                        <w:left w:val="none" w:sz="0" w:space="0" w:color="auto"/>
                        <w:bottom w:val="none" w:sz="0" w:space="0" w:color="auto"/>
                        <w:right w:val="none" w:sz="0" w:space="0" w:color="auto"/>
                      </w:divBdr>
                    </w:div>
                    <w:div w:id="275138490">
                      <w:marLeft w:val="0"/>
                      <w:marRight w:val="0"/>
                      <w:marTop w:val="0"/>
                      <w:marBottom w:val="0"/>
                      <w:divBdr>
                        <w:top w:val="none" w:sz="0" w:space="0" w:color="auto"/>
                        <w:left w:val="none" w:sz="0" w:space="0" w:color="auto"/>
                        <w:bottom w:val="none" w:sz="0" w:space="0" w:color="auto"/>
                        <w:right w:val="none" w:sz="0" w:space="0" w:color="auto"/>
                      </w:divBdr>
                    </w:div>
                    <w:div w:id="1079257161">
                      <w:marLeft w:val="0"/>
                      <w:marRight w:val="0"/>
                      <w:marTop w:val="0"/>
                      <w:marBottom w:val="0"/>
                      <w:divBdr>
                        <w:top w:val="none" w:sz="0" w:space="0" w:color="auto"/>
                        <w:left w:val="none" w:sz="0" w:space="0" w:color="auto"/>
                        <w:bottom w:val="none" w:sz="0" w:space="0" w:color="auto"/>
                        <w:right w:val="none" w:sz="0" w:space="0" w:color="auto"/>
                      </w:divBdr>
                    </w:div>
                    <w:div w:id="167253440">
                      <w:marLeft w:val="0"/>
                      <w:marRight w:val="0"/>
                      <w:marTop w:val="0"/>
                      <w:marBottom w:val="0"/>
                      <w:divBdr>
                        <w:top w:val="none" w:sz="0" w:space="0" w:color="auto"/>
                        <w:left w:val="none" w:sz="0" w:space="0" w:color="auto"/>
                        <w:bottom w:val="none" w:sz="0" w:space="0" w:color="auto"/>
                        <w:right w:val="none" w:sz="0" w:space="0" w:color="auto"/>
                      </w:divBdr>
                    </w:div>
                    <w:div w:id="1670710399">
                      <w:marLeft w:val="0"/>
                      <w:marRight w:val="0"/>
                      <w:marTop w:val="0"/>
                      <w:marBottom w:val="0"/>
                      <w:divBdr>
                        <w:top w:val="none" w:sz="0" w:space="0" w:color="auto"/>
                        <w:left w:val="none" w:sz="0" w:space="0" w:color="auto"/>
                        <w:bottom w:val="none" w:sz="0" w:space="0" w:color="auto"/>
                        <w:right w:val="none" w:sz="0" w:space="0" w:color="auto"/>
                      </w:divBdr>
                    </w:div>
                    <w:div w:id="339894662">
                      <w:marLeft w:val="0"/>
                      <w:marRight w:val="0"/>
                      <w:marTop w:val="0"/>
                      <w:marBottom w:val="0"/>
                      <w:divBdr>
                        <w:top w:val="none" w:sz="0" w:space="0" w:color="auto"/>
                        <w:left w:val="none" w:sz="0" w:space="0" w:color="auto"/>
                        <w:bottom w:val="none" w:sz="0" w:space="0" w:color="auto"/>
                        <w:right w:val="none" w:sz="0" w:space="0" w:color="auto"/>
                      </w:divBdr>
                    </w:div>
                    <w:div w:id="17355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ldbank.org/en/news/press-release/2015/11/25/world-bank-group-pension-plan-signs-on-to-principles-for-responsible-investment" TargetMode="External"/><Relationship Id="rId18" Type="http://schemas.openxmlformats.org/officeDocument/2006/relationships/hyperlink" Target="http://www.businesstimes.com.sg/hub/asia-corporate-excellence-sustainability-awards-2015/delivering-impact-the-role-o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vestordaily.com.au/markets/38602-cfa-institute-launches-new-esg-guide" TargetMode="External"/><Relationship Id="rId17" Type="http://schemas.openxmlformats.org/officeDocument/2006/relationships/hyperlink" Target="http://www.maritime-executive.com/article/sexual-orientation-issues-put-on-csr-agenda" TargetMode="External"/><Relationship Id="rId2" Type="http://schemas.openxmlformats.org/officeDocument/2006/relationships/numbering" Target="numbering.xml"/><Relationship Id="rId16" Type="http://schemas.openxmlformats.org/officeDocument/2006/relationships/hyperlink" Target="http://saudigazette.com.sa/business/csr-highlights-sustainability-as-key-component-for-progra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imate-l.iisd.org/news/adp-issues-draft-paris-outcome-for-consideration-by-cop-21/%20" TargetMode="External"/><Relationship Id="rId5" Type="http://schemas.openxmlformats.org/officeDocument/2006/relationships/settings" Target="settings.xml"/><Relationship Id="rId15" Type="http://schemas.openxmlformats.org/officeDocument/2006/relationships/hyperlink" Target="http://www.csrwire.com/press_releases/38494-Ethical-Performance-Launches-CSR-Services-Directory-to-Aid-Corporations-Tackling-New-UN-SDGs" TargetMode="External"/><Relationship Id="rId10" Type="http://schemas.openxmlformats.org/officeDocument/2006/relationships/hyperlink" Target="http://www.worldbank.org/en/news/press-release/2015/12/07/major-financial-institutions-move-to-integrate-climate-chang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die.net/news/6/153-corporations-unveil-new-low-carbon-action-plans/29443/" TargetMode="External"/><Relationship Id="rId14" Type="http://schemas.openxmlformats.org/officeDocument/2006/relationships/hyperlink" Target="http://www.businessgreen.com/bg/news/2435495/leading-energy-firms-to-support-near-doubling-of-renewable-capacit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1E77C-5310-4539-8D10-475895EA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1366</Words>
  <Characters>7790</Characters>
  <Application>Microsoft Office Word</Application>
  <DocSecurity>0</DocSecurity>
  <Lines>64</Lines>
  <Paragraphs>18</Paragraphs>
  <ScaleCrop>false</ScaleCrop>
  <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5</cp:revision>
  <dcterms:created xsi:type="dcterms:W3CDTF">2015-12-18T02:29:00Z</dcterms:created>
  <dcterms:modified xsi:type="dcterms:W3CDTF">2015-12-18T09:27:00Z</dcterms:modified>
</cp:coreProperties>
</file>