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0C014F" w:rsidRDefault="003B510F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元太科技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423A76">
        <w:rPr>
          <w:rFonts w:ascii="Times New Roman" w:eastAsia="標楷體" w:hAnsi="Times New Roman" w:hint="eastAsia"/>
          <w:sz w:val="32"/>
          <w:szCs w:val="28"/>
        </w:rPr>
        <w:t>環境規章</w:t>
      </w:r>
    </w:p>
    <w:p w:rsidR="008D1DBF" w:rsidRPr="000C014F" w:rsidRDefault="00A412A0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A412A0">
        <w:rPr>
          <w:rFonts w:ascii="Times New Roman" w:eastAsia="標楷體" w:hAnsi="Times New Roman" w:hint="eastAsia"/>
          <w:sz w:val="28"/>
          <w:szCs w:val="28"/>
        </w:rPr>
        <w:t>第</w:t>
      </w:r>
      <w:r w:rsidR="00676ACA">
        <w:rPr>
          <w:rFonts w:ascii="Times New Roman" w:eastAsia="標楷體" w:hAnsi="Times New Roman" w:hint="eastAsia"/>
          <w:sz w:val="28"/>
          <w:szCs w:val="28"/>
        </w:rPr>
        <w:t>十一</w:t>
      </w:r>
      <w:r w:rsidRPr="00A412A0">
        <w:rPr>
          <w:rFonts w:ascii="Times New Roman" w:eastAsia="標楷體" w:hAnsi="Times New Roman" w:hint="eastAsia"/>
          <w:sz w:val="28"/>
          <w:szCs w:val="28"/>
        </w:rPr>
        <w:t>條</w:t>
      </w:r>
      <w:r w:rsidR="00E136C8"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475D14">
        <w:rPr>
          <w:rFonts w:ascii="Times New Roman" w:eastAsia="標楷體" w:hAnsi="Times New Roman" w:hint="eastAsia"/>
          <w:sz w:val="28"/>
          <w:szCs w:val="28"/>
        </w:rPr>
        <w:t>進階</w:t>
      </w:r>
      <w:bookmarkStart w:id="0" w:name="_GoBack"/>
      <w:bookmarkEnd w:id="0"/>
    </w:p>
    <w:p w:rsidR="00FE54FA" w:rsidRPr="0057608A" w:rsidRDefault="000C014F" w:rsidP="00F37FB3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3B510F">
        <w:rPr>
          <w:rFonts w:ascii="Times New Roman" w:eastAsia="標楷體" w:hAnsi="Times New Roman"/>
        </w:rPr>
        <w:t>2</w:t>
      </w:r>
      <w:r w:rsidR="00475D14">
        <w:rPr>
          <w:rFonts w:ascii="Times New Roman" w:eastAsia="標楷體" w:hAnsi="Times New Roman" w:hint="eastAsia"/>
        </w:rPr>
        <w:t>017</w:t>
      </w:r>
      <w:r w:rsidR="00DA0BD0" w:rsidRPr="003B510F">
        <w:rPr>
          <w:rFonts w:ascii="Times New Roman" w:eastAsia="標楷體" w:hint="eastAsia"/>
        </w:rPr>
        <w:t>年</w:t>
      </w:r>
      <w:r w:rsidR="003B510F" w:rsidRPr="003B510F">
        <w:rPr>
          <w:rFonts w:ascii="Times New Roman" w:eastAsia="標楷體" w:hint="eastAsia"/>
        </w:rPr>
        <w:t>元太科技</w:t>
      </w:r>
      <w:r w:rsidRPr="003B510F">
        <w:rPr>
          <w:rFonts w:ascii="Times New Roman" w:eastAsia="標楷體"/>
        </w:rPr>
        <w:t>企業社會責任報告書</w:t>
      </w:r>
    </w:p>
    <w:p w:rsidR="00475D14" w:rsidRDefault="00475D14" w:rsidP="00423A76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  <w:szCs w:val="24"/>
        </w:rPr>
      </w:pPr>
    </w:p>
    <w:p w:rsidR="00A412A0" w:rsidRDefault="00423A76" w:rsidP="00423A76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i/>
          <w:sz w:val="28"/>
          <w:szCs w:val="24"/>
        </w:rPr>
      </w:pPr>
      <w:r>
        <w:rPr>
          <w:rFonts w:ascii="Times New Roman" w:eastAsia="標楷體" w:hAnsi="Times New Roman" w:hint="eastAsia"/>
          <w:i/>
          <w:sz w:val="28"/>
          <w:szCs w:val="24"/>
        </w:rPr>
        <w:t>元太科技在國際環境規章上，不僅通過</w:t>
      </w:r>
      <w:r>
        <w:rPr>
          <w:rFonts w:ascii="Times New Roman" w:eastAsia="標楷體" w:hAnsi="Times New Roman" w:hint="eastAsia"/>
          <w:i/>
          <w:sz w:val="28"/>
          <w:szCs w:val="24"/>
        </w:rPr>
        <w:t>ISO9001</w:t>
      </w:r>
      <w:r>
        <w:rPr>
          <w:rFonts w:ascii="Times New Roman" w:eastAsia="標楷體" w:hAnsi="Times New Roman" w:hint="eastAsia"/>
          <w:i/>
          <w:sz w:val="28"/>
          <w:szCs w:val="24"/>
        </w:rPr>
        <w:t>、客戶認證等外部認證，產品製造過程也特別遵循歐盟一系列的禁用物質規範。公司內部更訂定企業守則、管理流程</w:t>
      </w:r>
      <w:r w:rsidR="00475D14">
        <w:rPr>
          <w:rFonts w:ascii="Times New Roman" w:eastAsia="標楷體" w:hAnsi="Times New Roman" w:hint="eastAsia"/>
          <w:i/>
          <w:sz w:val="28"/>
          <w:szCs w:val="24"/>
        </w:rPr>
        <w:t>更成立委員會監督，確保執行</w:t>
      </w:r>
    </w:p>
    <w:p w:rsidR="00475D14" w:rsidRPr="00475D14" w:rsidRDefault="00475D14" w:rsidP="00423A76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  <w:szCs w:val="24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3B510F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F37FB3" w:rsidRPr="00F37FB3" w:rsidRDefault="00F37FB3" w:rsidP="00F37FB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F37FB3">
        <w:rPr>
          <w:rFonts w:ascii="Times New Roman" w:eastAsia="標楷體" w:hAnsi="Times New Roman" w:hint="eastAsia"/>
          <w:sz w:val="28"/>
        </w:rPr>
        <w:t>元太科技於</w:t>
      </w:r>
      <w:r w:rsidRPr="00F37FB3">
        <w:rPr>
          <w:rFonts w:ascii="Times New Roman" w:eastAsia="標楷體" w:hAnsi="Times New Roman" w:hint="eastAsia"/>
          <w:sz w:val="28"/>
        </w:rPr>
        <w:t>1992</w:t>
      </w:r>
      <w:r w:rsidRPr="00F37FB3">
        <w:rPr>
          <w:rFonts w:ascii="Times New Roman" w:eastAsia="標楷體" w:hAnsi="Times New Roman" w:hint="eastAsia"/>
          <w:sz w:val="28"/>
        </w:rPr>
        <w:t>年成立，為台灣</w:t>
      </w:r>
      <w:r w:rsidRPr="00F37FB3">
        <w:rPr>
          <w:rFonts w:ascii="Times New Roman" w:eastAsia="標楷體" w:hAnsi="Times New Roman" w:hint="eastAsia"/>
          <w:sz w:val="28"/>
        </w:rPr>
        <w:t>TFT-LCD</w:t>
      </w:r>
      <w:r w:rsidRPr="00F37FB3">
        <w:rPr>
          <w:rFonts w:ascii="Times New Roman" w:eastAsia="標楷體" w:hAnsi="Times New Roman" w:hint="eastAsia"/>
          <w:sz w:val="28"/>
        </w:rPr>
        <w:t>面板廠先驅。</w:t>
      </w:r>
      <w:r w:rsidRPr="00F37FB3">
        <w:rPr>
          <w:rFonts w:ascii="Times New Roman" w:eastAsia="標楷體" w:hAnsi="Times New Roman" w:hint="eastAsia"/>
          <w:sz w:val="28"/>
        </w:rPr>
        <w:t>2009</w:t>
      </w:r>
      <w:r w:rsidRPr="00F37FB3">
        <w:rPr>
          <w:rFonts w:ascii="Times New Roman" w:eastAsia="標楷體" w:hAnsi="Times New Roman" w:hint="eastAsia"/>
          <w:sz w:val="28"/>
        </w:rPr>
        <w:t>年，併購專事電子墨水技術、及電子紙研發與量產的美國</w:t>
      </w:r>
      <w:r w:rsidRPr="00F37FB3">
        <w:rPr>
          <w:rFonts w:ascii="Times New Roman" w:eastAsia="標楷體" w:hAnsi="Times New Roman" w:hint="eastAsia"/>
          <w:sz w:val="28"/>
        </w:rPr>
        <w:t>E Ink</w:t>
      </w:r>
      <w:r w:rsidRPr="00F37FB3">
        <w:rPr>
          <w:rFonts w:ascii="Times New Roman" w:eastAsia="標楷體" w:hAnsi="Times New Roman" w:hint="eastAsia"/>
          <w:sz w:val="28"/>
        </w:rPr>
        <w:t>公司後專注於電子紙上中游產業鏈的布局整合，現為全球電泳式電子紙顯示技術的領導開發商與供應商。以最先進的技術，提供全球知名品牌及製造商耐用、低耗電的電子紙模組，協助客戶開發新產品、創造新市場，並持續拓展電子紙的多元應用。如電子書閱讀器、手寫電子筆記本、電子貨架標籤、雙螢幕手機或背蓋、穿戴式裝置、物流標籤、智慧卡、電子看板、甚至能打造動態的裝置藝術、建築設計，以及更多人們從未想像過的表面與環境。</w:t>
      </w:r>
    </w:p>
    <w:p w:rsidR="00F37FB3" w:rsidRPr="00A412A0" w:rsidRDefault="00F37FB3" w:rsidP="00F37FB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其</w:t>
      </w:r>
      <w:r w:rsidRPr="00F37FB3">
        <w:rPr>
          <w:rFonts w:ascii="Times New Roman" w:eastAsia="標楷體" w:hAnsi="Times New Roman" w:hint="eastAsia"/>
          <w:sz w:val="28"/>
        </w:rPr>
        <w:t>經營理念為透過開發各種先進技術，提供革命性的產品、更佳的使用者經驗並創造更好的環境效益。</w:t>
      </w:r>
      <w:r>
        <w:rPr>
          <w:rFonts w:ascii="Times New Roman" w:eastAsia="標楷體" w:hAnsi="Times New Roman" w:hint="eastAsia"/>
          <w:sz w:val="28"/>
        </w:rPr>
        <w:t>致力於</w:t>
      </w:r>
      <w:r w:rsidRPr="00F37FB3">
        <w:rPr>
          <w:rFonts w:ascii="Times New Roman" w:eastAsia="標楷體" w:hAnsi="Times New Roman" w:hint="eastAsia"/>
          <w:sz w:val="28"/>
        </w:rPr>
        <w:t>節能、類紙質感的電子紙能具體實現各行業、各領域源源不絕的創意，進而延伸出各種創新應用，讓電子紙成為生活中物物相連的媒介。</w:t>
      </w:r>
    </w:p>
    <w:p w:rsidR="00475D14" w:rsidRDefault="00475D14" w:rsidP="00A412A0">
      <w:pPr>
        <w:tabs>
          <w:tab w:val="left" w:pos="1665"/>
        </w:tabs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Default="008D1DBF" w:rsidP="00475D14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676ACA" w:rsidRPr="00676ACA" w:rsidRDefault="00676ACA" w:rsidP="00676AC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676ACA">
        <w:rPr>
          <w:rFonts w:ascii="Times New Roman" w:eastAsia="標楷體" w:hAnsi="Times New Roman" w:hint="eastAsia"/>
          <w:sz w:val="28"/>
        </w:rPr>
        <w:t>元太科技</w:t>
      </w:r>
      <w:r w:rsidRPr="00676ACA">
        <w:rPr>
          <w:rFonts w:ascii="Times New Roman" w:eastAsia="標楷體" w:hAnsi="Times New Roman" w:hint="eastAsia"/>
          <w:sz w:val="28"/>
        </w:rPr>
        <w:t>106</w:t>
      </w:r>
      <w:r w:rsidRPr="00676ACA">
        <w:rPr>
          <w:rFonts w:ascii="Times New Roman" w:eastAsia="標楷體" w:hAnsi="Times New Roman" w:hint="eastAsia"/>
          <w:sz w:val="28"/>
        </w:rPr>
        <w:t>年度的報告書依循</w:t>
      </w:r>
      <w:r w:rsidRPr="00676ACA">
        <w:rPr>
          <w:rFonts w:ascii="Times New Roman" w:eastAsia="標楷體" w:hAnsi="Times New Roman" w:hint="eastAsia"/>
          <w:sz w:val="28"/>
        </w:rPr>
        <w:t>GRI</w:t>
      </w:r>
      <w:r w:rsidRPr="00676ACA">
        <w:rPr>
          <w:rFonts w:ascii="Times New Roman" w:eastAsia="標楷體" w:hAnsi="Times New Roman" w:hint="eastAsia"/>
          <w:sz w:val="28"/>
        </w:rPr>
        <w:t>準則選項，並且納入全球永續目標</w:t>
      </w:r>
      <w:r w:rsidRPr="00676ACA">
        <w:rPr>
          <w:rFonts w:ascii="Times New Roman" w:eastAsia="標楷體" w:hAnsi="Times New Roman" w:hint="eastAsia"/>
          <w:sz w:val="28"/>
        </w:rPr>
        <w:t>(SDG</w:t>
      </w:r>
      <w:r w:rsidRPr="00676ACA">
        <w:rPr>
          <w:rFonts w:ascii="Times New Roman" w:eastAsia="標楷體" w:hAnsi="Times New Roman"/>
          <w:sz w:val="28"/>
        </w:rPr>
        <w:t>s)</w:t>
      </w:r>
      <w:r w:rsidRPr="00676ACA">
        <w:rPr>
          <w:rFonts w:ascii="Times New Roman" w:eastAsia="標楷體" w:hAnsi="Times New Roman" w:hint="eastAsia"/>
          <w:sz w:val="28"/>
        </w:rPr>
        <w:t>探討公司與永續生活的連結。</w:t>
      </w:r>
    </w:p>
    <w:p w:rsidR="00676ACA" w:rsidRDefault="00676ACA" w:rsidP="00676AC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對於環境保護，元太科技</w:t>
      </w:r>
      <w:r w:rsidR="002C35DE">
        <w:rPr>
          <w:rFonts w:ascii="Times New Roman" w:eastAsia="標楷體" w:hAnsi="Times New Roman" w:hint="eastAsia"/>
          <w:sz w:val="28"/>
        </w:rPr>
        <w:t>新竹廠取得</w:t>
      </w:r>
      <w:r w:rsidR="002C35DE">
        <w:rPr>
          <w:rFonts w:ascii="Times New Roman" w:eastAsia="標楷體" w:hAnsi="Times New Roman" w:hint="eastAsia"/>
          <w:sz w:val="28"/>
        </w:rPr>
        <w:t>ISO9001</w:t>
      </w:r>
      <w:r w:rsidR="002C35DE">
        <w:rPr>
          <w:rFonts w:ascii="Times New Roman" w:eastAsia="標楷體" w:hAnsi="Times New Roman" w:hint="eastAsia"/>
          <w:sz w:val="28"/>
        </w:rPr>
        <w:t>、</w:t>
      </w:r>
      <w:r w:rsidR="002C35DE">
        <w:rPr>
          <w:rFonts w:ascii="Times New Roman" w:eastAsia="標楷體" w:hAnsi="Times New Roman" w:hint="eastAsia"/>
          <w:sz w:val="28"/>
        </w:rPr>
        <w:t>ISO/TS16949</w:t>
      </w:r>
      <w:r w:rsidR="002C35DE">
        <w:rPr>
          <w:rFonts w:ascii="Times New Roman" w:eastAsia="標楷體" w:hAnsi="Times New Roman" w:hint="eastAsia"/>
          <w:sz w:val="28"/>
        </w:rPr>
        <w:t>、</w:t>
      </w:r>
      <w:r w:rsidR="002C35DE">
        <w:rPr>
          <w:rFonts w:ascii="Times New Roman" w:eastAsia="標楷體" w:hAnsi="Times New Roman" w:hint="eastAsia"/>
          <w:sz w:val="28"/>
        </w:rPr>
        <w:t>SONY GP</w:t>
      </w:r>
      <w:r w:rsidR="002C35DE">
        <w:rPr>
          <w:rFonts w:ascii="Times New Roman" w:eastAsia="標楷體" w:hAnsi="Times New Roman" w:hint="eastAsia"/>
          <w:sz w:val="28"/>
        </w:rPr>
        <w:t>級</w:t>
      </w:r>
      <w:r w:rsidR="002C35DE">
        <w:rPr>
          <w:rFonts w:ascii="Times New Roman" w:eastAsia="標楷體" w:hAnsi="Times New Roman" w:hint="eastAsia"/>
          <w:sz w:val="28"/>
        </w:rPr>
        <w:t>Amazon</w:t>
      </w:r>
      <w:r w:rsidR="00E6385A">
        <w:rPr>
          <w:rFonts w:ascii="Times New Roman" w:eastAsia="標楷體" w:hAnsi="Times New Roman" w:hint="eastAsia"/>
          <w:sz w:val="28"/>
        </w:rPr>
        <w:t>等相關品質認證或客戶稽核認證。為確保產品之零部件、原材料、包裝材料跟組件等，遵守國際準則及法規如歐盟</w:t>
      </w:r>
      <w:r w:rsidR="00E6385A">
        <w:rPr>
          <w:rFonts w:ascii="Times New Roman" w:eastAsia="標楷體" w:hAnsi="Times New Roman" w:hint="eastAsia"/>
          <w:sz w:val="28"/>
        </w:rPr>
        <w:t>REACH</w:t>
      </w:r>
      <w:r w:rsidR="00E6385A">
        <w:rPr>
          <w:rFonts w:ascii="Times New Roman" w:eastAsia="標楷體" w:hAnsi="Times New Roman" w:hint="eastAsia"/>
          <w:sz w:val="28"/>
        </w:rPr>
        <w:t>、歐盟</w:t>
      </w:r>
      <w:r w:rsidR="00E6385A">
        <w:rPr>
          <w:rFonts w:ascii="Times New Roman" w:eastAsia="標楷體" w:hAnsi="Times New Roman" w:hint="eastAsia"/>
          <w:sz w:val="28"/>
        </w:rPr>
        <w:t>WEEE</w:t>
      </w:r>
      <w:r w:rsidR="00E6385A">
        <w:rPr>
          <w:rFonts w:ascii="Times New Roman" w:eastAsia="標楷體" w:hAnsi="Times New Roman" w:hint="eastAsia"/>
          <w:sz w:val="28"/>
        </w:rPr>
        <w:t>、歐盟</w:t>
      </w:r>
      <w:r w:rsidR="00E6385A">
        <w:rPr>
          <w:rFonts w:ascii="Times New Roman" w:eastAsia="標楷體" w:hAnsi="Times New Roman" w:hint="eastAsia"/>
          <w:sz w:val="28"/>
        </w:rPr>
        <w:t>R</w:t>
      </w:r>
      <w:r w:rsidR="00E6385A">
        <w:rPr>
          <w:rFonts w:ascii="Times New Roman" w:eastAsia="標楷體" w:hAnsi="Times New Roman"/>
          <w:sz w:val="28"/>
        </w:rPr>
        <w:t>oHS</w:t>
      </w:r>
      <w:r w:rsidR="00E6385A">
        <w:rPr>
          <w:rFonts w:ascii="Times New Roman" w:eastAsia="標楷體" w:hAnsi="Times New Roman" w:hint="eastAsia"/>
          <w:sz w:val="28"/>
        </w:rPr>
        <w:t>、不使用衝突礦產和公司內部產品環境品質政策及目標，並成立「環境限用物質管理委員會」</w:t>
      </w:r>
      <w:r w:rsidR="00E6385A">
        <w:rPr>
          <w:rFonts w:ascii="Times New Roman" w:eastAsia="標楷體" w:hAnsi="Times New Roman" w:hint="eastAsia"/>
          <w:sz w:val="28"/>
        </w:rPr>
        <w:t>(</w:t>
      </w:r>
      <w:r w:rsidR="00E6385A">
        <w:rPr>
          <w:rFonts w:ascii="Times New Roman" w:eastAsia="標楷體" w:hAnsi="Times New Roman" w:hint="eastAsia"/>
          <w:sz w:val="28"/>
        </w:rPr>
        <w:t>其架構如下圖</w:t>
      </w:r>
      <w:r w:rsidR="00E6385A">
        <w:rPr>
          <w:rFonts w:ascii="Times New Roman" w:eastAsia="標楷體" w:hAnsi="Times New Roman" w:hint="eastAsia"/>
          <w:sz w:val="28"/>
        </w:rPr>
        <w:t>)</w:t>
      </w:r>
      <w:r w:rsidR="00E6385A">
        <w:rPr>
          <w:rFonts w:ascii="Times New Roman" w:eastAsia="標楷體" w:hAnsi="Times New Roman" w:hint="eastAsia"/>
          <w:sz w:val="28"/>
        </w:rPr>
        <w:t>，</w:t>
      </w:r>
      <w:r w:rsidR="00907C0C">
        <w:rPr>
          <w:noProof/>
        </w:rPr>
        <w:drawing>
          <wp:inline distT="0" distB="0" distL="0" distR="0" wp14:anchorId="5DC5B701" wp14:editId="050A973B">
            <wp:extent cx="5274310" cy="2344138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196" t="24850" r="25416" b="30071"/>
                    <a:stretch/>
                  </pic:blipFill>
                  <pic:spPr bwMode="auto">
                    <a:xfrm>
                      <a:off x="0" y="0"/>
                      <a:ext cx="5274310" cy="2344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385A">
        <w:rPr>
          <w:rFonts w:ascii="Times New Roman" w:eastAsia="標楷體" w:hAnsi="Times New Roman" w:hint="eastAsia"/>
          <w:sz w:val="28"/>
        </w:rPr>
        <w:t>使限用物質管理流程</w:t>
      </w:r>
      <w:r w:rsidR="00907C0C">
        <w:rPr>
          <w:rFonts w:ascii="Times New Roman" w:eastAsia="標楷體" w:hAnsi="Times New Roman" w:hint="eastAsia"/>
          <w:sz w:val="28"/>
        </w:rPr>
        <w:t>(</w:t>
      </w:r>
      <w:r w:rsidR="00907C0C">
        <w:rPr>
          <w:rFonts w:ascii="Times New Roman" w:eastAsia="標楷體" w:hAnsi="Times New Roman" w:hint="eastAsia"/>
          <w:sz w:val="28"/>
        </w:rPr>
        <w:t>如下圖</w:t>
      </w:r>
      <w:r w:rsidR="00907C0C">
        <w:rPr>
          <w:rFonts w:ascii="Times New Roman" w:eastAsia="標楷體" w:hAnsi="Times New Roman" w:hint="eastAsia"/>
          <w:sz w:val="28"/>
        </w:rPr>
        <w:t>)</w:t>
      </w:r>
      <w:r w:rsidR="00E6385A">
        <w:rPr>
          <w:rFonts w:ascii="Times New Roman" w:eastAsia="標楷體" w:hAnsi="Times New Roman" w:hint="eastAsia"/>
          <w:sz w:val="28"/>
        </w:rPr>
        <w:t>能確實導入系統運</w:t>
      </w:r>
      <w:r w:rsidR="00174DEE">
        <w:rPr>
          <w:rFonts w:ascii="Times New Roman" w:eastAsia="標楷體" w:hAnsi="Times New Roman" w:hint="eastAsia"/>
          <w:sz w:val="28"/>
        </w:rPr>
        <w:t>作。</w:t>
      </w:r>
    </w:p>
    <w:p w:rsidR="00174DEE" w:rsidRDefault="00907C0C" w:rsidP="00907C0C">
      <w:pPr>
        <w:snapToGrid w:val="0"/>
        <w:spacing w:beforeLines="50" w:before="180" w:line="360" w:lineRule="auto"/>
        <w:ind w:leftChars="-177" w:hangingChars="177" w:hanging="425"/>
        <w:jc w:val="both"/>
        <w:rPr>
          <w:rFonts w:ascii="Times New Roman" w:eastAsia="標楷體" w:hAnsi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344971CC" wp14:editId="009F5D9B">
            <wp:extent cx="5638800" cy="4145879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085" t="14737" r="24599" b="7244"/>
                    <a:stretch/>
                  </pic:blipFill>
                  <pic:spPr bwMode="auto">
                    <a:xfrm>
                      <a:off x="0" y="0"/>
                      <a:ext cx="5654789" cy="4157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C0C" w:rsidRPr="00676ACA" w:rsidRDefault="00907C0C" w:rsidP="00907C0C">
      <w:pPr>
        <w:snapToGrid w:val="0"/>
        <w:spacing w:beforeLines="50" w:before="180" w:line="360" w:lineRule="auto"/>
        <w:ind w:leftChars="-177" w:left="71" w:hangingChars="177" w:hanging="496"/>
        <w:jc w:val="center"/>
        <w:rPr>
          <w:rFonts w:ascii="Times New Roman" w:eastAsia="標楷體" w:hAnsi="Times New Roman"/>
          <w:sz w:val="28"/>
        </w:rPr>
      </w:pPr>
    </w:p>
    <w:sectPr w:rsidR="00907C0C" w:rsidRPr="00676ACA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B9F" w:rsidRDefault="00D91B9F" w:rsidP="00256F30">
      <w:r>
        <w:separator/>
      </w:r>
    </w:p>
  </w:endnote>
  <w:endnote w:type="continuationSeparator" w:id="0">
    <w:p w:rsidR="00D91B9F" w:rsidRDefault="00D91B9F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B9F" w:rsidRDefault="00D91B9F" w:rsidP="00256F30">
      <w:r>
        <w:separator/>
      </w:r>
    </w:p>
  </w:footnote>
  <w:footnote w:type="continuationSeparator" w:id="0">
    <w:p w:rsidR="00D91B9F" w:rsidRDefault="00D91B9F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4DEE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5DE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510F"/>
    <w:rsid w:val="003B7F10"/>
    <w:rsid w:val="003D1FC7"/>
    <w:rsid w:val="003D37EF"/>
    <w:rsid w:val="003D552B"/>
    <w:rsid w:val="003F2643"/>
    <w:rsid w:val="003F2AEE"/>
    <w:rsid w:val="003F6391"/>
    <w:rsid w:val="00404B38"/>
    <w:rsid w:val="00423A76"/>
    <w:rsid w:val="00423CE0"/>
    <w:rsid w:val="00444F98"/>
    <w:rsid w:val="0045162A"/>
    <w:rsid w:val="00452C06"/>
    <w:rsid w:val="00475D14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76ACA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36B6A"/>
    <w:rsid w:val="00843165"/>
    <w:rsid w:val="00844056"/>
    <w:rsid w:val="0086748A"/>
    <w:rsid w:val="00870649"/>
    <w:rsid w:val="00874CB7"/>
    <w:rsid w:val="00876270"/>
    <w:rsid w:val="00877DD4"/>
    <w:rsid w:val="008816F5"/>
    <w:rsid w:val="008B085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07C0C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12A0"/>
    <w:rsid w:val="00A43F48"/>
    <w:rsid w:val="00A47D33"/>
    <w:rsid w:val="00A711D1"/>
    <w:rsid w:val="00A77AE4"/>
    <w:rsid w:val="00A80EB3"/>
    <w:rsid w:val="00A93585"/>
    <w:rsid w:val="00AA1A4D"/>
    <w:rsid w:val="00AA42CE"/>
    <w:rsid w:val="00AB53C4"/>
    <w:rsid w:val="00AB74E5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0B90"/>
    <w:rsid w:val="00C51AD9"/>
    <w:rsid w:val="00C52008"/>
    <w:rsid w:val="00C65668"/>
    <w:rsid w:val="00C778CE"/>
    <w:rsid w:val="00C92BA3"/>
    <w:rsid w:val="00CA0505"/>
    <w:rsid w:val="00CC770D"/>
    <w:rsid w:val="00CD2ED6"/>
    <w:rsid w:val="00CD3776"/>
    <w:rsid w:val="00D03069"/>
    <w:rsid w:val="00D049DC"/>
    <w:rsid w:val="00D06F12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173D"/>
    <w:rsid w:val="00D91B9F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43DF"/>
    <w:rsid w:val="00E166A7"/>
    <w:rsid w:val="00E16B59"/>
    <w:rsid w:val="00E205E9"/>
    <w:rsid w:val="00E24806"/>
    <w:rsid w:val="00E27488"/>
    <w:rsid w:val="00E37FC5"/>
    <w:rsid w:val="00E4007D"/>
    <w:rsid w:val="00E62167"/>
    <w:rsid w:val="00E6385A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37FB3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085E72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3</cp:revision>
  <dcterms:created xsi:type="dcterms:W3CDTF">2019-01-07T07:17:00Z</dcterms:created>
  <dcterms:modified xsi:type="dcterms:W3CDTF">2019-01-11T07:25:00Z</dcterms:modified>
</cp:coreProperties>
</file>