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BF" w:rsidRPr="000C014F" w:rsidRDefault="006848FB"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台灣大</w:t>
      </w:r>
      <w:r w:rsidR="005F72AE" w:rsidRPr="000C014F">
        <w:rPr>
          <w:rFonts w:ascii="Times New Roman" w:eastAsia="標楷體" w:hAnsi="Times New Roman" w:hint="eastAsia"/>
          <w:sz w:val="32"/>
          <w:szCs w:val="28"/>
        </w:rPr>
        <w:t>的</w:t>
      </w:r>
      <w:r w:rsidR="00106F34">
        <w:rPr>
          <w:rFonts w:ascii="Times New Roman" w:eastAsia="標楷體" w:hAnsi="Times New Roman" w:hint="eastAsia"/>
          <w:sz w:val="32"/>
          <w:szCs w:val="28"/>
        </w:rPr>
        <w:t>高階經理人績效評估</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106F34">
        <w:rPr>
          <w:rFonts w:ascii="Times New Roman" w:eastAsia="標楷體" w:hAnsi="Times New Roman" w:hint="eastAsia"/>
          <w:sz w:val="28"/>
          <w:szCs w:val="28"/>
        </w:rPr>
        <w:t>第</w:t>
      </w:r>
      <w:r w:rsidR="00327DCA" w:rsidRPr="00106F34">
        <w:rPr>
          <w:rFonts w:ascii="Times New Roman" w:eastAsia="標楷體" w:hAnsi="Times New Roman" w:hint="eastAsia"/>
          <w:sz w:val="28"/>
          <w:szCs w:val="28"/>
        </w:rPr>
        <w:t>九</w:t>
      </w:r>
      <w:r w:rsidRPr="00106F34">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6D7786">
        <w:rPr>
          <w:rFonts w:ascii="Times New Roman" w:eastAsia="標楷體" w:hAnsi="Times New Roman" w:hint="eastAsia"/>
          <w:sz w:val="28"/>
          <w:szCs w:val="28"/>
        </w:rPr>
        <w:t>領先</w:t>
      </w:r>
      <w:r w:rsidR="00AB74E5" w:rsidRPr="000C014F">
        <w:rPr>
          <w:rFonts w:ascii="Times New Roman" w:eastAsia="標楷體" w:hAnsi="Times New Roman"/>
          <w:sz w:val="28"/>
          <w:szCs w:val="28"/>
        </w:rPr>
        <w:t xml:space="preserve"> </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6848FB">
        <w:rPr>
          <w:rFonts w:ascii="Times New Roman" w:eastAsia="標楷體" w:hAnsi="Times New Roman"/>
        </w:rPr>
        <w:t>2</w:t>
      </w:r>
      <w:r w:rsidR="0011234E">
        <w:rPr>
          <w:rFonts w:ascii="Times New Roman" w:eastAsia="標楷體" w:hAnsi="Times New Roman" w:hint="eastAsia"/>
        </w:rPr>
        <w:t>017</w:t>
      </w:r>
      <w:bookmarkStart w:id="0" w:name="_GoBack"/>
      <w:bookmarkEnd w:id="0"/>
      <w:r w:rsidR="00DA0BD0" w:rsidRPr="006848FB">
        <w:rPr>
          <w:rFonts w:ascii="Times New Roman" w:eastAsia="標楷體" w:hint="eastAsia"/>
        </w:rPr>
        <w:t>年</w:t>
      </w:r>
      <w:r w:rsidR="006848FB" w:rsidRPr="006848FB">
        <w:rPr>
          <w:rFonts w:ascii="Times New Roman" w:eastAsia="標楷體" w:hint="eastAsia"/>
        </w:rPr>
        <w:t>台灣大</w:t>
      </w:r>
      <w:r w:rsidRPr="006848FB">
        <w:rPr>
          <w:rFonts w:ascii="Times New Roman" w:eastAsia="標楷體"/>
        </w:rPr>
        <w:t>企業社會責任報告書</w:t>
      </w:r>
    </w:p>
    <w:p w:rsidR="00FC4778" w:rsidRDefault="00FC4778" w:rsidP="00D94472">
      <w:pPr>
        <w:snapToGrid w:val="0"/>
        <w:spacing w:beforeLines="50" w:before="180" w:line="300" w:lineRule="auto"/>
        <w:ind w:left="1"/>
        <w:rPr>
          <w:rFonts w:ascii="Times New Roman" w:eastAsia="標楷體" w:hAnsi="Times New Roman"/>
          <w:i/>
          <w:sz w:val="28"/>
        </w:rPr>
      </w:pPr>
    </w:p>
    <w:p w:rsidR="00FE54FA" w:rsidRDefault="00106F34" w:rsidP="00D94472">
      <w:pPr>
        <w:snapToGrid w:val="0"/>
        <w:spacing w:beforeLines="50" w:before="180" w:line="300" w:lineRule="auto"/>
        <w:ind w:left="1"/>
        <w:rPr>
          <w:rFonts w:ascii="Times New Roman" w:eastAsia="標楷體" w:hAnsi="Times New Roman"/>
          <w:i/>
          <w:sz w:val="28"/>
        </w:rPr>
      </w:pPr>
      <w:r>
        <w:rPr>
          <w:rFonts w:ascii="Times New Roman" w:eastAsia="標楷體" w:hAnsi="Times New Roman" w:hint="eastAsia"/>
          <w:i/>
          <w:sz w:val="28"/>
        </w:rPr>
        <w:t>台灣大明訂高階經理人</w:t>
      </w:r>
      <w:r>
        <w:rPr>
          <w:rFonts w:ascii="Times New Roman" w:eastAsia="標楷體" w:hAnsi="Times New Roman" w:hint="eastAsia"/>
          <w:i/>
          <w:sz w:val="28"/>
        </w:rPr>
        <w:t>(</w:t>
      </w:r>
      <w:r>
        <w:rPr>
          <w:rFonts w:ascii="Times New Roman" w:eastAsia="標楷體" w:hAnsi="Times New Roman" w:hint="eastAsia"/>
          <w:i/>
          <w:sz w:val="28"/>
        </w:rPr>
        <w:t>董事會成員、總經理及副總經理</w:t>
      </w:r>
      <w:r>
        <w:rPr>
          <w:rFonts w:ascii="Times New Roman" w:eastAsia="標楷體" w:hAnsi="Times New Roman" w:hint="eastAsia"/>
          <w:i/>
          <w:sz w:val="28"/>
        </w:rPr>
        <w:t>)</w:t>
      </w:r>
      <w:r>
        <w:rPr>
          <w:rFonts w:ascii="Times New Roman" w:eastAsia="標楷體" w:hAnsi="Times New Roman" w:hint="eastAsia"/>
          <w:i/>
          <w:sz w:val="28"/>
        </w:rPr>
        <w:t>之薪酬獎金及績效考核應與</w:t>
      </w:r>
      <w:r>
        <w:rPr>
          <w:rFonts w:ascii="Times New Roman" w:eastAsia="標楷體" w:hAnsi="Times New Roman" w:hint="eastAsia"/>
          <w:i/>
          <w:sz w:val="28"/>
        </w:rPr>
        <w:t>CSR</w:t>
      </w:r>
      <w:r>
        <w:rPr>
          <w:rFonts w:ascii="Times New Roman" w:eastAsia="標楷體" w:hAnsi="Times New Roman" w:hint="eastAsia"/>
          <w:i/>
          <w:sz w:val="28"/>
        </w:rPr>
        <w:t>目標、風險管理成果連結，年度績效則由經理人自評及委中華公司治理協會辦理，並由</w:t>
      </w:r>
      <w:r w:rsidRPr="00106F34">
        <w:rPr>
          <w:rFonts w:ascii="Times New Roman" w:eastAsia="標楷體" w:hAnsi="Times New Roman" w:hint="eastAsia"/>
          <w:i/>
          <w:sz w:val="28"/>
        </w:rPr>
        <w:t>薪酬報酬委員會</w:t>
      </w:r>
      <w:r w:rsidR="005C7CD8">
        <w:rPr>
          <w:rFonts w:ascii="Times New Roman" w:eastAsia="標楷體" w:hAnsi="Times New Roman" w:hint="eastAsia"/>
          <w:i/>
          <w:sz w:val="28"/>
        </w:rPr>
        <w:t>審核。報告書中揭露高級經理人之薪資占比</w:t>
      </w:r>
    </w:p>
    <w:p w:rsidR="005C7CD8" w:rsidRPr="00106F34" w:rsidRDefault="005C7CD8" w:rsidP="00D94472">
      <w:pPr>
        <w:snapToGrid w:val="0"/>
        <w:spacing w:beforeLines="50" w:before="180" w:line="300" w:lineRule="auto"/>
        <w:ind w:left="1"/>
        <w:rPr>
          <w:rFonts w:ascii="Times New Roman" w:eastAsia="標楷體" w:hAnsi="Times New Roman"/>
          <w:i/>
          <w:sz w:val="28"/>
        </w:rPr>
      </w:pPr>
    </w:p>
    <w:p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6848FB">
        <w:rPr>
          <w:rFonts w:ascii="Times New Roman" w:eastAsia="標楷體" w:hAnsi="Times New Roman"/>
          <w:b/>
          <w:sz w:val="28"/>
          <w:szCs w:val="24"/>
        </w:rPr>
        <w:t>企業概述</w:t>
      </w:r>
    </w:p>
    <w:p w:rsidR="00217087" w:rsidRPr="00217087" w:rsidRDefault="00217087" w:rsidP="00217087">
      <w:pPr>
        <w:snapToGrid w:val="0"/>
        <w:spacing w:beforeLines="50" w:before="180" w:line="360" w:lineRule="auto"/>
        <w:jc w:val="both"/>
        <w:rPr>
          <w:rFonts w:ascii="Times New Roman" w:eastAsia="標楷體" w:hAnsi="Times New Roman"/>
          <w:sz w:val="28"/>
        </w:rPr>
      </w:pPr>
      <w:r w:rsidRPr="00217087">
        <w:rPr>
          <w:rFonts w:ascii="Times New Roman" w:eastAsia="標楷體" w:hAnsi="Times New Roman" w:hint="eastAsia"/>
          <w:sz w:val="28"/>
        </w:rPr>
        <w:t>台灣大哥大股份有限公司於</w:t>
      </w:r>
      <w:r w:rsidRPr="00217087">
        <w:rPr>
          <w:rFonts w:ascii="Times New Roman" w:eastAsia="標楷體" w:hAnsi="Times New Roman" w:hint="eastAsia"/>
          <w:sz w:val="28"/>
        </w:rPr>
        <w:t>1997</w:t>
      </w:r>
      <w:r w:rsidRPr="00217087">
        <w:rPr>
          <w:rFonts w:ascii="Times New Roman" w:eastAsia="標楷體" w:hAnsi="Times New Roman" w:hint="eastAsia"/>
          <w:sz w:val="28"/>
        </w:rPr>
        <w:t>年設立，是第一家於台灣證券交易所上市交易之民營電信公司，也是國內第一家推出</w:t>
      </w:r>
      <w:r w:rsidRPr="00217087">
        <w:rPr>
          <w:rFonts w:ascii="Times New Roman" w:eastAsia="標楷體" w:hAnsi="Times New Roman" w:hint="eastAsia"/>
          <w:sz w:val="28"/>
        </w:rPr>
        <w:t>WCDMA</w:t>
      </w:r>
      <w:r w:rsidRPr="00217087">
        <w:rPr>
          <w:rFonts w:ascii="Times New Roman" w:eastAsia="標楷體" w:hAnsi="Times New Roman" w:hint="eastAsia"/>
          <w:sz w:val="28"/>
        </w:rPr>
        <w:t>系統之第三代</w:t>
      </w:r>
      <w:r w:rsidRPr="00217087">
        <w:rPr>
          <w:rFonts w:ascii="Times New Roman" w:eastAsia="標楷體" w:hAnsi="Times New Roman" w:hint="eastAsia"/>
          <w:sz w:val="28"/>
        </w:rPr>
        <w:t>(3G)</w:t>
      </w:r>
      <w:r w:rsidRPr="00217087">
        <w:rPr>
          <w:rFonts w:ascii="Times New Roman" w:eastAsia="標楷體" w:hAnsi="Times New Roman" w:hint="eastAsia"/>
          <w:sz w:val="28"/>
        </w:rPr>
        <w:t>行動通訊服務業者。台灣大哥大於</w:t>
      </w:r>
      <w:r w:rsidRPr="00217087">
        <w:rPr>
          <w:rFonts w:ascii="Times New Roman" w:eastAsia="標楷體" w:hAnsi="Times New Roman" w:hint="eastAsia"/>
          <w:sz w:val="28"/>
        </w:rPr>
        <w:t>2000</w:t>
      </w:r>
      <w:r w:rsidRPr="00217087">
        <w:rPr>
          <w:rFonts w:ascii="Times New Roman" w:eastAsia="標楷體" w:hAnsi="Times New Roman" w:hint="eastAsia"/>
          <w:sz w:val="28"/>
        </w:rPr>
        <w:t>年掛牌上櫃，為台灣第一家上櫃的行動電話業者；</w:t>
      </w:r>
      <w:r w:rsidRPr="00217087">
        <w:rPr>
          <w:rFonts w:ascii="Times New Roman" w:eastAsia="標楷體" w:hAnsi="Times New Roman" w:hint="eastAsia"/>
          <w:sz w:val="28"/>
        </w:rPr>
        <w:t>2002</w:t>
      </w:r>
      <w:r w:rsidRPr="00217087">
        <w:rPr>
          <w:rFonts w:ascii="Times New Roman" w:eastAsia="標楷體" w:hAnsi="Times New Roman" w:hint="eastAsia"/>
          <w:sz w:val="28"/>
        </w:rPr>
        <w:t>年正式上櫃轉上市，同年納入台灣</w:t>
      </w:r>
      <w:r w:rsidRPr="00217087">
        <w:rPr>
          <w:rFonts w:ascii="Times New Roman" w:eastAsia="標楷體" w:hAnsi="Times New Roman" w:hint="eastAsia"/>
          <w:sz w:val="28"/>
        </w:rPr>
        <w:t>50</w:t>
      </w:r>
      <w:r w:rsidRPr="00217087">
        <w:rPr>
          <w:rFonts w:ascii="Times New Roman" w:eastAsia="標楷體" w:hAnsi="Times New Roman" w:hint="eastAsia"/>
          <w:sz w:val="28"/>
        </w:rPr>
        <w:t>指數，並獲納入摩根士丹利資本國際</w:t>
      </w:r>
      <w:r w:rsidRPr="00217087">
        <w:rPr>
          <w:rFonts w:ascii="Times New Roman" w:eastAsia="標楷體" w:hAnsi="Times New Roman" w:hint="eastAsia"/>
          <w:sz w:val="28"/>
        </w:rPr>
        <w:t>(MSCI)</w:t>
      </w:r>
      <w:r w:rsidRPr="00217087">
        <w:rPr>
          <w:rFonts w:ascii="Times New Roman" w:eastAsia="標楷體" w:hAnsi="Times New Roman" w:hint="eastAsia"/>
          <w:sz w:val="28"/>
        </w:rPr>
        <w:t>投資指數成分股。</w:t>
      </w:r>
    </w:p>
    <w:p w:rsidR="00217087" w:rsidRPr="00217087" w:rsidRDefault="00217087" w:rsidP="00217087">
      <w:pPr>
        <w:snapToGrid w:val="0"/>
        <w:spacing w:beforeLines="50" w:before="180" w:line="360" w:lineRule="auto"/>
        <w:jc w:val="both"/>
        <w:rPr>
          <w:rFonts w:ascii="Times New Roman" w:eastAsia="標楷體" w:hAnsi="Times New Roman"/>
          <w:sz w:val="28"/>
        </w:rPr>
      </w:pPr>
      <w:r w:rsidRPr="00217087">
        <w:rPr>
          <w:rFonts w:ascii="Times New Roman" w:eastAsia="標楷體" w:hAnsi="Times New Roman" w:hint="eastAsia"/>
          <w:sz w:val="28"/>
        </w:rPr>
        <w:t>為提升營運規模、提供整合性的服務，台灣大哥大於</w:t>
      </w:r>
      <w:r w:rsidRPr="00217087">
        <w:rPr>
          <w:rFonts w:ascii="Times New Roman" w:eastAsia="標楷體" w:hAnsi="Times New Roman" w:hint="eastAsia"/>
          <w:sz w:val="28"/>
        </w:rPr>
        <w:t>2001</w:t>
      </w:r>
      <w:r w:rsidRPr="00217087">
        <w:rPr>
          <w:rFonts w:ascii="Times New Roman" w:eastAsia="標楷體" w:hAnsi="Times New Roman" w:hint="eastAsia"/>
          <w:sz w:val="28"/>
        </w:rPr>
        <w:t>年</w:t>
      </w:r>
      <w:r>
        <w:rPr>
          <w:rFonts w:ascii="Times New Roman" w:eastAsia="標楷體" w:hAnsi="Times New Roman" w:hint="eastAsia"/>
          <w:sz w:val="28"/>
        </w:rPr>
        <w:t>、</w:t>
      </w:r>
      <w:r w:rsidRPr="00217087">
        <w:rPr>
          <w:rFonts w:ascii="Times New Roman" w:eastAsia="標楷體" w:hAnsi="Times New Roman" w:hint="eastAsia"/>
          <w:sz w:val="28"/>
        </w:rPr>
        <w:t>2004</w:t>
      </w:r>
      <w:r w:rsidRPr="00217087">
        <w:rPr>
          <w:rFonts w:ascii="Times New Roman" w:eastAsia="標楷體" w:hAnsi="Times New Roman" w:hint="eastAsia"/>
          <w:sz w:val="28"/>
        </w:rPr>
        <w:t>年</w:t>
      </w:r>
      <w:r>
        <w:rPr>
          <w:rFonts w:ascii="Times New Roman" w:eastAsia="標楷體" w:hAnsi="Times New Roman" w:hint="eastAsia"/>
          <w:sz w:val="28"/>
        </w:rPr>
        <w:t>、</w:t>
      </w:r>
      <w:r>
        <w:rPr>
          <w:rFonts w:ascii="Times New Roman" w:eastAsia="標楷體" w:hAnsi="Times New Roman" w:hint="eastAsia"/>
          <w:sz w:val="28"/>
        </w:rPr>
        <w:t>2007</w:t>
      </w:r>
      <w:r>
        <w:rPr>
          <w:rFonts w:ascii="Times New Roman" w:eastAsia="標楷體" w:hAnsi="Times New Roman" w:hint="eastAsia"/>
          <w:sz w:val="28"/>
        </w:rPr>
        <w:t>年陸續</w:t>
      </w:r>
      <w:r w:rsidRPr="00217087">
        <w:rPr>
          <w:rFonts w:ascii="Times New Roman" w:eastAsia="標楷體" w:hAnsi="Times New Roman" w:hint="eastAsia"/>
          <w:sz w:val="28"/>
        </w:rPr>
        <w:t>收購</w:t>
      </w:r>
      <w:r>
        <w:rPr>
          <w:rFonts w:ascii="Times New Roman" w:eastAsia="標楷體" w:hAnsi="Times New Roman" w:hint="eastAsia"/>
          <w:sz w:val="28"/>
        </w:rPr>
        <w:t>其他電信</w:t>
      </w:r>
      <w:r>
        <w:rPr>
          <w:rFonts w:ascii="Times New Roman" w:eastAsia="標楷體" w:hAnsi="Times New Roman" w:hint="eastAsia"/>
          <w:sz w:val="28"/>
        </w:rPr>
        <w:t>/</w:t>
      </w:r>
      <w:r>
        <w:rPr>
          <w:rFonts w:ascii="Times New Roman" w:eastAsia="標楷體" w:hAnsi="Times New Roman" w:hint="eastAsia"/>
          <w:sz w:val="28"/>
        </w:rPr>
        <w:t>訊公司</w:t>
      </w:r>
      <w:r w:rsidRPr="00217087">
        <w:rPr>
          <w:rFonts w:ascii="Times New Roman" w:eastAsia="標楷體" w:hAnsi="Times New Roman" w:hint="eastAsia"/>
          <w:sz w:val="28"/>
        </w:rPr>
        <w:t>，</w:t>
      </w:r>
      <w:r>
        <w:rPr>
          <w:rFonts w:ascii="Times New Roman" w:eastAsia="標楷體" w:hAnsi="Times New Roman" w:hint="eastAsia"/>
          <w:sz w:val="28"/>
        </w:rPr>
        <w:t>現</w:t>
      </w:r>
      <w:r w:rsidRPr="00217087">
        <w:rPr>
          <w:rFonts w:ascii="Times New Roman" w:eastAsia="標楷體" w:hAnsi="Times New Roman" w:hint="eastAsia"/>
          <w:sz w:val="28"/>
        </w:rPr>
        <w:t>約</w:t>
      </w:r>
      <w:r w:rsidRPr="00217087">
        <w:rPr>
          <w:rFonts w:ascii="Times New Roman" w:eastAsia="標楷體" w:hAnsi="Times New Roman" w:hint="eastAsia"/>
          <w:sz w:val="28"/>
        </w:rPr>
        <w:t>30%</w:t>
      </w:r>
      <w:r>
        <w:rPr>
          <w:rFonts w:ascii="Times New Roman" w:eastAsia="標楷體" w:hAnsi="Times New Roman" w:hint="eastAsia"/>
          <w:sz w:val="28"/>
        </w:rPr>
        <w:t>之電信營收市佔率，居國內行動電信業的領導品牌之一、</w:t>
      </w:r>
      <w:r w:rsidRPr="00217087">
        <w:rPr>
          <w:rFonts w:ascii="Times New Roman" w:eastAsia="標楷體" w:hAnsi="Times New Roman" w:hint="eastAsia"/>
          <w:sz w:val="28"/>
        </w:rPr>
        <w:t>第二大網路服務供應商，架構橫跨行動通訊、固網、寬頻上網及有線電視「四合一」平台。</w:t>
      </w:r>
    </w:p>
    <w:p w:rsidR="00AB74E5" w:rsidRPr="00217087" w:rsidRDefault="00217087" w:rsidP="00217087">
      <w:pPr>
        <w:snapToGrid w:val="0"/>
        <w:spacing w:beforeLines="50" w:before="180" w:line="360" w:lineRule="auto"/>
        <w:jc w:val="both"/>
        <w:rPr>
          <w:rFonts w:ascii="Times New Roman" w:eastAsia="標楷體" w:hAnsi="Times New Roman"/>
          <w:sz w:val="28"/>
        </w:rPr>
      </w:pPr>
      <w:r w:rsidRPr="00217087">
        <w:rPr>
          <w:rFonts w:ascii="Times New Roman" w:eastAsia="標楷體" w:hAnsi="Times New Roman" w:hint="eastAsia"/>
          <w:sz w:val="28"/>
        </w:rPr>
        <w:t>台灣大哥大積極整合企業核心能力及資源，持續關注</w:t>
      </w:r>
      <w:r w:rsidRPr="00217087">
        <w:rPr>
          <w:rFonts w:ascii="Times New Roman" w:eastAsia="標楷體" w:hAnsi="Times New Roman" w:hint="eastAsia"/>
          <w:sz w:val="28"/>
        </w:rPr>
        <w:t>17</w:t>
      </w:r>
      <w:r w:rsidRPr="00217087">
        <w:rPr>
          <w:rFonts w:ascii="Times New Roman" w:eastAsia="標楷體" w:hAnsi="Times New Roman" w:hint="eastAsia"/>
          <w:sz w:val="28"/>
        </w:rPr>
        <w:t>項聯合國永續發展目標</w:t>
      </w:r>
      <w:r w:rsidRPr="00217087">
        <w:rPr>
          <w:rFonts w:ascii="Times New Roman" w:eastAsia="標楷體" w:hAnsi="Times New Roman" w:hint="eastAsia"/>
          <w:sz w:val="28"/>
        </w:rPr>
        <w:t>(SDGs)</w:t>
      </w:r>
      <w:r w:rsidRPr="00217087">
        <w:rPr>
          <w:rFonts w:ascii="Times New Roman" w:eastAsia="標楷體" w:hAnsi="Times New Roman" w:hint="eastAsia"/>
          <w:sz w:val="28"/>
        </w:rPr>
        <w:t>，全方位實踐各項誠信治理、環境友善及社會參與計畫，</w:t>
      </w:r>
      <w:r>
        <w:rPr>
          <w:rFonts w:ascii="Times New Roman" w:eastAsia="標楷體" w:hAnsi="Times New Roman" w:hint="eastAsia"/>
          <w:sz w:val="28"/>
        </w:rPr>
        <w:t>曾</w:t>
      </w:r>
      <w:r w:rsidRPr="00217087">
        <w:rPr>
          <w:rFonts w:ascii="Times New Roman" w:eastAsia="標楷體" w:hAnsi="Times New Roman" w:hint="eastAsia"/>
          <w:sz w:val="28"/>
        </w:rPr>
        <w:t>6</w:t>
      </w:r>
      <w:r w:rsidRPr="00217087">
        <w:rPr>
          <w:rFonts w:ascii="Times New Roman" w:eastAsia="標楷體" w:hAnsi="Times New Roman" w:hint="eastAsia"/>
          <w:sz w:val="28"/>
        </w:rPr>
        <w:t>度入選</w:t>
      </w:r>
      <w:r w:rsidRPr="00217087">
        <w:rPr>
          <w:rFonts w:ascii="Times New Roman" w:eastAsia="標楷體" w:hAnsi="Times New Roman" w:hint="eastAsia"/>
          <w:sz w:val="28"/>
        </w:rPr>
        <w:t>DJSI</w:t>
      </w:r>
      <w:r w:rsidRPr="00217087">
        <w:rPr>
          <w:rFonts w:ascii="Times New Roman" w:eastAsia="標楷體" w:hAnsi="Times New Roman" w:hint="eastAsia"/>
          <w:sz w:val="28"/>
        </w:rPr>
        <w:t>，</w:t>
      </w:r>
      <w:r w:rsidRPr="00217087">
        <w:rPr>
          <w:rFonts w:ascii="Times New Roman" w:eastAsia="標楷體" w:hAnsi="Times New Roman" w:hint="eastAsia"/>
          <w:sz w:val="28"/>
        </w:rPr>
        <w:t>2017</w:t>
      </w:r>
      <w:r w:rsidRPr="00217087">
        <w:rPr>
          <w:rFonts w:ascii="Times New Roman" w:eastAsia="標楷體" w:hAnsi="Times New Roman" w:hint="eastAsia"/>
          <w:sz w:val="28"/>
        </w:rPr>
        <w:t>年首度站上「</w:t>
      </w:r>
      <w:r w:rsidRPr="00217087">
        <w:rPr>
          <w:rFonts w:ascii="Times New Roman" w:eastAsia="標楷體" w:hAnsi="Times New Roman" w:hint="eastAsia"/>
          <w:sz w:val="28"/>
        </w:rPr>
        <w:t>DJSI</w:t>
      </w:r>
      <w:r w:rsidRPr="00217087">
        <w:rPr>
          <w:rFonts w:ascii="Times New Roman" w:eastAsia="標楷體" w:hAnsi="Times New Roman" w:hint="eastAsia"/>
          <w:sz w:val="28"/>
        </w:rPr>
        <w:t>世界指數」行列，登上全球電信業</w:t>
      </w:r>
      <w:r>
        <w:rPr>
          <w:rFonts w:ascii="Times New Roman" w:eastAsia="標楷體" w:hAnsi="Times New Roman" w:hint="eastAsia"/>
          <w:sz w:val="28"/>
        </w:rPr>
        <w:t>前</w:t>
      </w:r>
      <w:r>
        <w:rPr>
          <w:rFonts w:ascii="Times New Roman" w:eastAsia="標楷體" w:hAnsi="Times New Roman" w:hint="eastAsia"/>
          <w:sz w:val="28"/>
        </w:rPr>
        <w:t>2</w:t>
      </w:r>
      <w:r w:rsidRPr="00217087">
        <w:rPr>
          <w:rFonts w:ascii="Times New Roman" w:eastAsia="標楷體" w:hAnsi="Times New Roman" w:hint="eastAsia"/>
          <w:sz w:val="28"/>
        </w:rPr>
        <w:t>。</w:t>
      </w:r>
    </w:p>
    <w:p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lastRenderedPageBreak/>
        <w:t>案例描述</w:t>
      </w:r>
    </w:p>
    <w:p w:rsidR="00327DCA" w:rsidRPr="006D7786" w:rsidRDefault="00814B93" w:rsidP="00C27C75">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台灣大除按</w:t>
      </w:r>
      <w:r w:rsidR="00D72767">
        <w:rPr>
          <w:rFonts w:ascii="Times New Roman" w:eastAsia="標楷體" w:hAnsi="Times New Roman" w:hint="eastAsia"/>
          <w:sz w:val="28"/>
        </w:rPr>
        <w:t>公司章程及董事薪酬給付辦法支付董事、獨立董事酬金外，另外包含總經理及副總經理的薪酬由薪酬報酬委員會審視其對公司營運的貢獻</w:t>
      </w:r>
      <w:r w:rsidR="00D72767">
        <w:rPr>
          <w:rFonts w:ascii="Times New Roman" w:eastAsia="標楷體" w:hAnsi="Times New Roman" w:hint="eastAsia"/>
          <w:sz w:val="28"/>
        </w:rPr>
        <w:t>(</w:t>
      </w:r>
      <w:r w:rsidR="00D72767">
        <w:rPr>
          <w:rFonts w:ascii="Times New Roman" w:eastAsia="標楷體" w:hAnsi="Times New Roman" w:hint="eastAsia"/>
          <w:sz w:val="28"/>
        </w:rPr>
        <w:t>如未來經營風險及企業社會責任涉入度</w:t>
      </w:r>
      <w:r w:rsidR="00D72767">
        <w:rPr>
          <w:rFonts w:ascii="Times New Roman" w:eastAsia="標楷體" w:hAnsi="Times New Roman" w:hint="eastAsia"/>
          <w:sz w:val="28"/>
        </w:rPr>
        <w:t>)</w:t>
      </w:r>
      <w:r w:rsidR="00D72767">
        <w:rPr>
          <w:rFonts w:ascii="Times New Roman" w:eastAsia="標楷體" w:hAnsi="Times New Roman" w:hint="eastAsia"/>
          <w:sz w:val="28"/>
        </w:rPr>
        <w:t>，決定其給付酬金之合理性。</w:t>
      </w:r>
      <w:r w:rsidR="00D72767">
        <w:rPr>
          <w:rFonts w:ascii="Times New Roman" w:eastAsia="標楷體" w:hAnsi="Times New Roman" w:hint="eastAsia"/>
          <w:sz w:val="28"/>
        </w:rPr>
        <w:t>CSR</w:t>
      </w:r>
      <w:r w:rsidR="00D72767">
        <w:rPr>
          <w:rFonts w:ascii="Times New Roman" w:eastAsia="標楷體" w:hAnsi="Times New Roman" w:hint="eastAsia"/>
          <w:sz w:val="28"/>
        </w:rPr>
        <w:t>委員會決議且明訂，總經理及副總經理之績效評估及薪酬與</w:t>
      </w:r>
      <w:r w:rsidR="00D72767">
        <w:rPr>
          <w:rFonts w:ascii="Times New Roman" w:eastAsia="標楷體" w:hAnsi="Times New Roman" w:hint="eastAsia"/>
          <w:sz w:val="28"/>
        </w:rPr>
        <w:t>CSR</w:t>
      </w:r>
      <w:r w:rsidR="00D72767">
        <w:rPr>
          <w:rFonts w:ascii="Times New Roman" w:eastAsia="標楷體" w:hAnsi="Times New Roman" w:hint="eastAsia"/>
          <w:sz w:val="28"/>
        </w:rPr>
        <w:t>年度目標連結，例如客戶滿意度、節能減碳績效、員工離職率等指標，</w:t>
      </w:r>
      <w:r w:rsidR="000223D6">
        <w:rPr>
          <w:rFonts w:ascii="Times New Roman" w:eastAsia="標楷體" w:hAnsi="Times New Roman" w:hint="eastAsia"/>
          <w:sz w:val="28"/>
        </w:rPr>
        <w:t>還有其風險管理指標皆為薪酬委員會審酌的項目。</w:t>
      </w:r>
      <w:r w:rsidR="006D7786" w:rsidRPr="006D7786">
        <w:rPr>
          <w:rFonts w:ascii="Times New Roman" w:eastAsia="標楷體" w:hAnsi="Times New Roman" w:hint="eastAsia"/>
          <w:sz w:val="28"/>
        </w:rPr>
        <w:t>依董事會績效評估辦法</w:t>
      </w:r>
      <w:r w:rsidR="006D7786">
        <w:rPr>
          <w:rFonts w:ascii="Times New Roman" w:eastAsia="標楷體" w:hAnsi="Times New Roman" w:hint="eastAsia"/>
          <w:sz w:val="28"/>
        </w:rPr>
        <w:t>，年度終了評估績效由各董事會成員自評外並委請中華公司治理協會辦理外部評估。</w:t>
      </w:r>
    </w:p>
    <w:p w:rsidR="000223D6" w:rsidRDefault="000223D6" w:rsidP="006D7786">
      <w:pPr>
        <w:snapToGrid w:val="0"/>
        <w:spacing w:beforeLines="50" w:before="180" w:line="360" w:lineRule="auto"/>
        <w:ind w:firstLineChars="118" w:firstLine="283"/>
        <w:jc w:val="center"/>
        <w:rPr>
          <w:rFonts w:ascii="Times New Roman" w:eastAsia="標楷體" w:hAnsi="Times New Roman"/>
          <w:sz w:val="28"/>
        </w:rPr>
      </w:pPr>
      <w:r>
        <w:rPr>
          <w:noProof/>
        </w:rPr>
        <w:drawing>
          <wp:inline distT="0" distB="0" distL="0" distR="0" wp14:anchorId="19B3762E" wp14:editId="49CAF17D">
            <wp:extent cx="5143500" cy="316723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032" t="32653" r="16747" b="7027"/>
                    <a:stretch/>
                  </pic:blipFill>
                  <pic:spPr bwMode="auto">
                    <a:xfrm>
                      <a:off x="0" y="0"/>
                      <a:ext cx="5170426" cy="3183814"/>
                    </a:xfrm>
                    <a:prstGeom prst="rect">
                      <a:avLst/>
                    </a:prstGeom>
                    <a:ln>
                      <a:noFill/>
                    </a:ln>
                    <a:extLst>
                      <a:ext uri="{53640926-AAD7-44D8-BBD7-CCE9431645EC}">
                        <a14:shadowObscured xmlns:a14="http://schemas.microsoft.com/office/drawing/2010/main"/>
                      </a:ext>
                    </a:extLst>
                  </pic:spPr>
                </pic:pic>
              </a:graphicData>
            </a:graphic>
          </wp:inline>
        </w:drawing>
      </w:r>
    </w:p>
    <w:p w:rsidR="006D7786" w:rsidRPr="00327DCA" w:rsidRDefault="006D7786" w:rsidP="00C27C75">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2015</w:t>
      </w:r>
      <w:r>
        <w:rPr>
          <w:rFonts w:ascii="Times New Roman" w:eastAsia="標楷體" w:hAnsi="Times New Roman" w:hint="eastAsia"/>
          <w:sz w:val="28"/>
        </w:rPr>
        <w:t>年起，於報告書中揭露高階經理人薪資</w:t>
      </w:r>
      <w:r>
        <w:rPr>
          <w:rFonts w:ascii="Times New Roman" w:eastAsia="標楷體" w:hAnsi="Times New Roman" w:hint="eastAsia"/>
          <w:sz w:val="28"/>
        </w:rPr>
        <w:t>/</w:t>
      </w:r>
      <w:r>
        <w:rPr>
          <w:rFonts w:ascii="Times New Roman" w:eastAsia="標楷體" w:hAnsi="Times New Roman" w:hint="eastAsia"/>
          <w:sz w:val="28"/>
        </w:rPr>
        <w:t>退職退休金、獎金及特支費、員工酬勞占比之薪資結構。</w:t>
      </w:r>
    </w:p>
    <w:sectPr w:rsidR="006D7786" w:rsidRPr="00327DCA"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F7F" w:rsidRDefault="00522F7F" w:rsidP="00256F30">
      <w:r>
        <w:separator/>
      </w:r>
    </w:p>
  </w:endnote>
  <w:endnote w:type="continuationSeparator" w:id="0">
    <w:p w:rsidR="00522F7F" w:rsidRDefault="00522F7F"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F7F" w:rsidRDefault="00522F7F" w:rsidP="00256F30">
      <w:r>
        <w:separator/>
      </w:r>
    </w:p>
  </w:footnote>
  <w:footnote w:type="continuationSeparator" w:id="0">
    <w:p w:rsidR="00522F7F" w:rsidRDefault="00522F7F"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6283"/>
    <w:rsid w:val="00014111"/>
    <w:rsid w:val="000223D6"/>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06F34"/>
    <w:rsid w:val="0011234E"/>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17087"/>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27DCA"/>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398B"/>
    <w:rsid w:val="00476139"/>
    <w:rsid w:val="00491F32"/>
    <w:rsid w:val="004A134A"/>
    <w:rsid w:val="004D36E4"/>
    <w:rsid w:val="004F34F9"/>
    <w:rsid w:val="004F5DD5"/>
    <w:rsid w:val="004F6340"/>
    <w:rsid w:val="00510FE4"/>
    <w:rsid w:val="00513565"/>
    <w:rsid w:val="00520C87"/>
    <w:rsid w:val="00522F7F"/>
    <w:rsid w:val="00540852"/>
    <w:rsid w:val="00545641"/>
    <w:rsid w:val="00554C94"/>
    <w:rsid w:val="00573627"/>
    <w:rsid w:val="0057608A"/>
    <w:rsid w:val="005C0296"/>
    <w:rsid w:val="005C7CD8"/>
    <w:rsid w:val="005D3828"/>
    <w:rsid w:val="005E20F8"/>
    <w:rsid w:val="005F72AE"/>
    <w:rsid w:val="00611039"/>
    <w:rsid w:val="00617B0C"/>
    <w:rsid w:val="006253C0"/>
    <w:rsid w:val="00630B0D"/>
    <w:rsid w:val="00642126"/>
    <w:rsid w:val="006439C1"/>
    <w:rsid w:val="0064655E"/>
    <w:rsid w:val="00647515"/>
    <w:rsid w:val="00663C00"/>
    <w:rsid w:val="006848FB"/>
    <w:rsid w:val="00685092"/>
    <w:rsid w:val="00687F90"/>
    <w:rsid w:val="006A5D9F"/>
    <w:rsid w:val="006B5622"/>
    <w:rsid w:val="006B6B5D"/>
    <w:rsid w:val="006D6092"/>
    <w:rsid w:val="006D71F4"/>
    <w:rsid w:val="006D7786"/>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14B93"/>
    <w:rsid w:val="00827A71"/>
    <w:rsid w:val="00843165"/>
    <w:rsid w:val="00844056"/>
    <w:rsid w:val="0086748A"/>
    <w:rsid w:val="00870649"/>
    <w:rsid w:val="00874CB7"/>
    <w:rsid w:val="00876270"/>
    <w:rsid w:val="00877DD4"/>
    <w:rsid w:val="008816F5"/>
    <w:rsid w:val="008C3AA8"/>
    <w:rsid w:val="008D0D62"/>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C3C9F"/>
    <w:rsid w:val="009D0A0B"/>
    <w:rsid w:val="009E572E"/>
    <w:rsid w:val="009F68CB"/>
    <w:rsid w:val="00A05663"/>
    <w:rsid w:val="00A154A7"/>
    <w:rsid w:val="00A36362"/>
    <w:rsid w:val="00A43F48"/>
    <w:rsid w:val="00A47D33"/>
    <w:rsid w:val="00A711D1"/>
    <w:rsid w:val="00A77AE4"/>
    <w:rsid w:val="00A80EB3"/>
    <w:rsid w:val="00A93585"/>
    <w:rsid w:val="00AA1A4D"/>
    <w:rsid w:val="00AA42CE"/>
    <w:rsid w:val="00AB53C4"/>
    <w:rsid w:val="00AB74E5"/>
    <w:rsid w:val="00AC0B2A"/>
    <w:rsid w:val="00AC6F7C"/>
    <w:rsid w:val="00B10780"/>
    <w:rsid w:val="00B234C0"/>
    <w:rsid w:val="00B23F83"/>
    <w:rsid w:val="00B34568"/>
    <w:rsid w:val="00B3591A"/>
    <w:rsid w:val="00B41027"/>
    <w:rsid w:val="00B4716F"/>
    <w:rsid w:val="00B565EF"/>
    <w:rsid w:val="00B57E00"/>
    <w:rsid w:val="00B60A66"/>
    <w:rsid w:val="00B619E8"/>
    <w:rsid w:val="00B62810"/>
    <w:rsid w:val="00B641D5"/>
    <w:rsid w:val="00B670A7"/>
    <w:rsid w:val="00B84036"/>
    <w:rsid w:val="00BA2E47"/>
    <w:rsid w:val="00BA6CED"/>
    <w:rsid w:val="00BB0E9F"/>
    <w:rsid w:val="00BB2B1A"/>
    <w:rsid w:val="00BC34B1"/>
    <w:rsid w:val="00BD3EF7"/>
    <w:rsid w:val="00BE29F5"/>
    <w:rsid w:val="00BE4AB0"/>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A0505"/>
    <w:rsid w:val="00CC770D"/>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2767"/>
    <w:rsid w:val="00D77E91"/>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C3497"/>
    <w:rsid w:val="00FC4778"/>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0D671F"/>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5</cp:revision>
  <dcterms:created xsi:type="dcterms:W3CDTF">2019-01-09T03:00:00Z</dcterms:created>
  <dcterms:modified xsi:type="dcterms:W3CDTF">2019-01-14T06:27:00Z</dcterms:modified>
</cp:coreProperties>
</file>