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EF06" w14:textId="33BDF303" w:rsidR="008D1DBF" w:rsidRPr="003948DA" w:rsidRDefault="00113199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948DA">
        <w:rPr>
          <w:rFonts w:ascii="Times New Roman" w:eastAsia="標楷體" w:hAnsi="Times New Roman" w:cs="Times New Roman" w:hint="eastAsia"/>
          <w:sz w:val="32"/>
          <w:szCs w:val="32"/>
        </w:rPr>
        <w:t>台肥</w:t>
      </w:r>
      <w:r w:rsidR="005F72AE" w:rsidRPr="003948DA">
        <w:rPr>
          <w:rFonts w:ascii="Times New Roman" w:eastAsia="標楷體" w:hAnsi="Times New Roman" w:cs="Times New Roman"/>
          <w:sz w:val="32"/>
          <w:szCs w:val="32"/>
        </w:rPr>
        <w:t>的</w:t>
      </w:r>
      <w:r w:rsidR="00D657AF">
        <w:rPr>
          <w:rFonts w:ascii="Times New Roman" w:eastAsia="標楷體" w:hAnsi="Times New Roman" w:cs="Times New Roman" w:hint="eastAsia"/>
          <w:sz w:val="32"/>
          <w:szCs w:val="32"/>
        </w:rPr>
        <w:t>客訴機制</w:t>
      </w:r>
    </w:p>
    <w:p w14:paraId="0A9B7A72" w14:textId="3AEF51A3" w:rsidR="003948DA" w:rsidRPr="003948DA" w:rsidRDefault="00E136C8" w:rsidP="003948D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948DA">
        <w:rPr>
          <w:rFonts w:ascii="Times New Roman" w:eastAsia="標楷體" w:hAnsi="Times New Roman" w:hint="eastAsia"/>
          <w:sz w:val="28"/>
          <w:szCs w:val="28"/>
        </w:rPr>
        <w:t>第</w:t>
      </w:r>
      <w:r w:rsidR="00121818">
        <w:rPr>
          <w:rFonts w:ascii="Times New Roman" w:eastAsia="標楷體" w:hAnsi="Times New Roman" w:hint="eastAsia"/>
          <w:sz w:val="28"/>
          <w:szCs w:val="28"/>
        </w:rPr>
        <w:t>二十</w:t>
      </w:r>
      <w:r w:rsidR="00D76304">
        <w:rPr>
          <w:rFonts w:ascii="Times New Roman" w:eastAsia="標楷體" w:hAnsi="Times New Roman" w:hint="eastAsia"/>
          <w:sz w:val="28"/>
          <w:szCs w:val="28"/>
        </w:rPr>
        <w:t>三</w:t>
      </w:r>
      <w:r w:rsidRPr="003948DA">
        <w:rPr>
          <w:rFonts w:ascii="Times New Roman" w:eastAsia="標楷體" w:hAnsi="Times New Roman" w:hint="eastAsia"/>
          <w:sz w:val="28"/>
          <w:szCs w:val="28"/>
        </w:rPr>
        <w:t>條</w:t>
      </w:r>
      <w:r w:rsidRPr="003948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948DA">
        <w:rPr>
          <w:rFonts w:ascii="Times New Roman" w:eastAsia="標楷體" w:hAnsi="Times New Roman"/>
          <w:sz w:val="28"/>
          <w:szCs w:val="28"/>
        </w:rPr>
        <w:t>等級：</w:t>
      </w:r>
      <w:r w:rsidR="00D657AF">
        <w:rPr>
          <w:rFonts w:ascii="Times New Roman" w:eastAsia="標楷體" w:hAnsi="Times New Roman" w:hint="eastAsia"/>
          <w:sz w:val="28"/>
          <w:szCs w:val="28"/>
        </w:rPr>
        <w:t>領先</w:t>
      </w:r>
    </w:p>
    <w:p w14:paraId="09B522E9" w14:textId="7D664D94" w:rsidR="000C014F" w:rsidRPr="003948DA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/>
        </w:rPr>
      </w:pPr>
      <w:r w:rsidRPr="003948DA">
        <w:rPr>
          <w:rFonts w:ascii="Times New Roman" w:eastAsia="標楷體" w:hAnsi="Times New Roman" w:hint="eastAsia"/>
        </w:rPr>
        <w:t>資料來源：</w:t>
      </w:r>
      <w:r w:rsidR="006D7CDB" w:rsidRPr="003948DA">
        <w:rPr>
          <w:rFonts w:ascii="Times New Roman" w:eastAsia="標楷體" w:hAnsi="Times New Roman"/>
        </w:rPr>
        <w:t>20</w:t>
      </w:r>
      <w:r w:rsidR="00726820" w:rsidRPr="003948DA">
        <w:rPr>
          <w:rFonts w:ascii="Times New Roman" w:eastAsia="標楷體" w:hAnsi="Times New Roman" w:hint="eastAsia"/>
        </w:rPr>
        <w:t>1</w:t>
      </w:r>
      <w:r w:rsidR="00121818">
        <w:rPr>
          <w:rFonts w:ascii="Times New Roman" w:eastAsia="標楷體" w:hAnsi="Times New Roman" w:hint="eastAsia"/>
        </w:rPr>
        <w:t>8</w:t>
      </w:r>
      <w:r w:rsidR="00DA0BD0" w:rsidRPr="003948DA">
        <w:rPr>
          <w:rFonts w:ascii="Times New Roman" w:eastAsia="標楷體" w:hAnsi="Times New Roman" w:hint="eastAsia"/>
        </w:rPr>
        <w:t>年</w:t>
      </w:r>
      <w:r w:rsidR="00113199" w:rsidRPr="003948DA">
        <w:rPr>
          <w:rFonts w:ascii="Times New Roman" w:eastAsia="標楷體" w:hAnsi="Times New Roman" w:hint="eastAsia"/>
        </w:rPr>
        <w:t>台肥</w:t>
      </w:r>
      <w:r w:rsidRPr="003948DA">
        <w:rPr>
          <w:rFonts w:ascii="Times New Roman" w:eastAsia="標楷體" w:hAnsi="Times New Roman"/>
        </w:rPr>
        <w:t>企業社會責任報告書</w:t>
      </w:r>
    </w:p>
    <w:p w14:paraId="050900AB" w14:textId="77777777" w:rsidR="003948DA" w:rsidRPr="003948DA" w:rsidRDefault="003948DA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</w:p>
    <w:p w14:paraId="1089773E" w14:textId="64481DD6" w:rsidR="00011104" w:rsidRDefault="00D657AF" w:rsidP="00EA3E35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sz w:val="28"/>
        </w:rPr>
      </w:pPr>
      <w:r w:rsidRPr="00D657AF">
        <w:rPr>
          <w:rFonts w:ascii="Times New Roman" w:eastAsia="標楷體" w:hAnsi="Times New Roman" w:hint="eastAsia"/>
          <w:i/>
          <w:sz w:val="28"/>
        </w:rPr>
        <w:t>台肥秉持以客為尊理念，建構完整服務網絡利用網路及社群建立多元客戶服務管道，使客訴處理機制</w:t>
      </w:r>
      <w:bookmarkStart w:id="0" w:name="_GoBack"/>
      <w:bookmarkEnd w:id="0"/>
      <w:r w:rsidRPr="00D657AF">
        <w:rPr>
          <w:rFonts w:ascii="Times New Roman" w:eastAsia="標楷體" w:hAnsi="Times New Roman" w:hint="eastAsia"/>
          <w:i/>
          <w:sz w:val="28"/>
        </w:rPr>
        <w:t>更臻完善</w:t>
      </w:r>
    </w:p>
    <w:p w14:paraId="4B492C9E" w14:textId="77777777" w:rsidR="00D657AF" w:rsidRPr="003948DA" w:rsidRDefault="00D657AF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kern w:val="0"/>
          <w:sz w:val="28"/>
          <w:szCs w:val="28"/>
        </w:rPr>
      </w:pPr>
    </w:p>
    <w:p w14:paraId="5EBB0352" w14:textId="77777777" w:rsidR="00C27C75" w:rsidRPr="003948DA" w:rsidRDefault="00C27C75" w:rsidP="003948DA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948DA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477B4112" w14:textId="77777777" w:rsidR="00113199" w:rsidRPr="002459EC" w:rsidRDefault="00113199" w:rsidP="002459EC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台灣肥料股份有限公司創建於</w:t>
      </w:r>
      <w:r w:rsidR="00E1782A"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1946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r w:rsidR="00E1782A"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5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月</w:t>
      </w:r>
      <w:r w:rsidR="00E1782A"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日，於國營時期全力配合政府政策，生產供應台灣農業發展所需肥料，為我國最具規模的現代化肥料生產事業。台肥主要營運業務以生產肥料產品（過磷酸鈣、硝磷基複合肥料、錏磷基複合肥料、硫酸銨等）、化工產品（硝酸），及進口銷售採購業務（液氨、尿素、氯化鉀等）為主。於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1999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9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月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日成功轉型為股票上市的民營公司，總管理處位於台灣台北市中山區。</w:t>
      </w:r>
    </w:p>
    <w:p w14:paraId="5E7C3909" w14:textId="77777777" w:rsidR="003948DA" w:rsidRDefault="003948DA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5EA504E1" w14:textId="03874D66" w:rsidR="008D1DBF" w:rsidRDefault="008D1DBF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3948DA">
        <w:rPr>
          <w:rFonts w:ascii="Times New Roman" w:eastAsia="標楷體" w:hAnsi="Times New Roman" w:hint="eastAsia"/>
          <w:b/>
          <w:sz w:val="28"/>
        </w:rPr>
        <w:t>案例描述</w:t>
      </w:r>
    </w:p>
    <w:p w14:paraId="78B0E56B" w14:textId="32A098D9" w:rsidR="00D657AF" w:rsidRPr="00D657AF" w:rsidRDefault="00D657AF" w:rsidP="00D657A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657AF">
        <w:rPr>
          <w:rFonts w:ascii="Times New Roman" w:eastAsia="標楷體" w:hAnsi="Times New Roman" w:hint="eastAsia"/>
          <w:iCs/>
          <w:sz w:val="28"/>
        </w:rPr>
        <w:t>台肥</w:t>
      </w: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訂有「客戶關係管理細則」及「營業管理準則」，作為客訴處理程序依據，力求生產單位限期改善品質，並防止類似案件再次發生。</w:t>
      </w:r>
    </w:p>
    <w:p w14:paraId="5AC58ADA" w14:textId="7BAAF937" w:rsidR="00D657AF" w:rsidRDefault="00D657AF" w:rsidP="00D657A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>
        <w:rPr>
          <w:noProof/>
        </w:rPr>
        <w:lastRenderedPageBreak/>
        <w:drawing>
          <wp:inline distT="0" distB="0" distL="0" distR="0" wp14:anchorId="539241A5" wp14:editId="15E7E0E2">
            <wp:extent cx="5274310" cy="255333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7BF3E" w14:textId="7DC7A249" w:rsidR="00D657AF" w:rsidRPr="00D657AF" w:rsidRDefault="00D657AF" w:rsidP="00D657A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在</w:t>
      </w:r>
      <w:r w:rsidRPr="00D657AF">
        <w:rPr>
          <w:rFonts w:ascii="Times New Roman" w:eastAsia="標楷體" w:hAnsi="Times New Roman" w:hint="eastAsia"/>
          <w:iCs/>
          <w:sz w:val="28"/>
        </w:rPr>
        <w:t>台肥</w:t>
      </w:r>
      <w:r>
        <w:rPr>
          <w:rFonts w:ascii="Times New Roman" w:eastAsia="標楷體" w:hAnsi="Times New Roman" w:hint="eastAsia"/>
          <w:iCs/>
          <w:sz w:val="28"/>
        </w:rPr>
        <w:t>的</w:t>
      </w: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努力經營與加強顧客關係管理下，客訴案件維持很低的數字，</w:t>
      </w:r>
      <w:r w:rsidRPr="00D657AF">
        <w:rPr>
          <w:rFonts w:ascii="Times New Roman" w:eastAsia="標楷體" w:hAnsi="Times New Roman"/>
          <w:color w:val="151515"/>
          <w:w w:val="109"/>
          <w:sz w:val="28"/>
          <w:szCs w:val="28"/>
        </w:rPr>
        <w:t xml:space="preserve"> 2018</w:t>
      </w: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年客訴件數僅</w:t>
      </w:r>
      <w:r w:rsidRPr="00D657AF">
        <w:rPr>
          <w:rFonts w:ascii="Times New Roman" w:eastAsia="標楷體" w:hAnsi="Times New Roman"/>
          <w:color w:val="151515"/>
          <w:w w:val="109"/>
          <w:sz w:val="28"/>
          <w:szCs w:val="28"/>
        </w:rPr>
        <w:t xml:space="preserve">1 </w:t>
      </w: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件</w:t>
      </w:r>
      <w:r w:rsidRPr="00D657AF">
        <w:rPr>
          <w:rFonts w:ascii="Times New Roman" w:eastAsia="標楷體" w:hAnsi="Times New Roman"/>
          <w:color w:val="151515"/>
          <w:w w:val="109"/>
          <w:sz w:val="28"/>
          <w:szCs w:val="28"/>
        </w:rPr>
        <w:t>( 2016</w:t>
      </w: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r w:rsidRPr="00D657AF">
        <w:rPr>
          <w:rFonts w:ascii="Times New Roman" w:eastAsia="標楷體" w:hAnsi="Times New Roman"/>
          <w:color w:val="151515"/>
          <w:w w:val="109"/>
          <w:sz w:val="28"/>
          <w:szCs w:val="28"/>
        </w:rPr>
        <w:t>4</w:t>
      </w: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件；</w:t>
      </w:r>
      <w:r w:rsidRPr="00D657AF">
        <w:rPr>
          <w:rFonts w:ascii="Times New Roman" w:eastAsia="標楷體" w:hAnsi="Times New Roman"/>
          <w:color w:val="151515"/>
          <w:w w:val="109"/>
          <w:sz w:val="28"/>
          <w:szCs w:val="28"/>
        </w:rPr>
        <w:t>2017</w:t>
      </w: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r w:rsidRPr="00D657AF">
        <w:rPr>
          <w:rFonts w:ascii="Times New Roman" w:eastAsia="標楷體" w:hAnsi="Times New Roman"/>
          <w:color w:val="151515"/>
          <w:w w:val="109"/>
          <w:sz w:val="28"/>
          <w:szCs w:val="28"/>
        </w:rPr>
        <w:t>6</w:t>
      </w: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件</w:t>
      </w:r>
      <w:r w:rsidRPr="00D657AF">
        <w:rPr>
          <w:rFonts w:ascii="Times New Roman" w:eastAsia="標楷體" w:hAnsi="Times New Roman"/>
          <w:color w:val="151515"/>
          <w:w w:val="109"/>
          <w:sz w:val="28"/>
          <w:szCs w:val="28"/>
        </w:rPr>
        <w:t xml:space="preserve">) </w:t>
      </w: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，</w:t>
      </w:r>
      <w:r w:rsidRPr="00D657AF">
        <w:rPr>
          <w:rFonts w:ascii="Times New Roman" w:eastAsia="標楷體" w:hAnsi="Times New Roman"/>
          <w:color w:val="151515"/>
          <w:w w:val="109"/>
          <w:sz w:val="28"/>
          <w:szCs w:val="28"/>
        </w:rPr>
        <w:t xml:space="preserve"> </w:t>
      </w: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為寶效</w:t>
      </w:r>
      <w:r w:rsidRPr="00D657AF">
        <w:rPr>
          <w:rFonts w:ascii="Times New Roman" w:eastAsia="標楷體" w:hAnsi="Times New Roman"/>
          <w:color w:val="151515"/>
          <w:w w:val="109"/>
          <w:sz w:val="28"/>
          <w:szCs w:val="28"/>
        </w:rPr>
        <w:t>43</w:t>
      </w: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號發生結塊，已檢查出肥料結塊原因並執行處理對策，最後由生產處查核，追蹤後續改善方案落實情形。</w:t>
      </w:r>
    </w:p>
    <w:p w14:paraId="158ECCB1" w14:textId="59F09593" w:rsidR="00D657AF" w:rsidRPr="00D657AF" w:rsidRDefault="00D657AF" w:rsidP="00D657A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改善方式</w:t>
      </w:r>
    </w:p>
    <w:p w14:paraId="5B9594F2" w14:textId="74E2B37B" w:rsidR="00D657AF" w:rsidRPr="00D657AF" w:rsidRDefault="00D657AF" w:rsidP="00D657AF">
      <w:pPr>
        <w:pStyle w:val="aa"/>
        <w:numPr>
          <w:ilvl w:val="0"/>
          <w:numId w:val="4"/>
        </w:numPr>
        <w:snapToGrid w:val="0"/>
        <w:spacing w:line="360" w:lineRule="auto"/>
        <w:ind w:leftChars="0" w:left="482" w:hanging="482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提高成品粒度，並增加裹包油及滑石粉</w:t>
      </w:r>
    </w:p>
    <w:p w14:paraId="4A2ADD86" w14:textId="51E24DE6" w:rsidR="00D657AF" w:rsidRPr="00D657AF" w:rsidRDefault="00D657AF" w:rsidP="00D657AF">
      <w:pPr>
        <w:pStyle w:val="aa"/>
        <w:numPr>
          <w:ilvl w:val="0"/>
          <w:numId w:val="4"/>
        </w:numPr>
        <w:snapToGrid w:val="0"/>
        <w:spacing w:line="360" w:lineRule="auto"/>
        <w:ind w:leftChars="0" w:left="482" w:hanging="482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657A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提高燃燒爐溫度，依造粒情況調整磷酸用量，督促加料源頭不摻混其他原料</w:t>
      </w:r>
    </w:p>
    <w:sectPr w:rsidR="00D657AF" w:rsidRPr="00D657A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459B8" w14:textId="77777777" w:rsidR="00F61AB4" w:rsidRDefault="00F61AB4" w:rsidP="00256F30">
      <w:r>
        <w:separator/>
      </w:r>
    </w:p>
  </w:endnote>
  <w:endnote w:type="continuationSeparator" w:id="0">
    <w:p w14:paraId="759A4E86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78DB" w14:textId="77777777" w:rsidR="00F61AB4" w:rsidRDefault="00F61AB4" w:rsidP="00256F30">
      <w:r>
        <w:separator/>
      </w:r>
    </w:p>
  </w:footnote>
  <w:footnote w:type="continuationSeparator" w:id="0">
    <w:p w14:paraId="157A07F9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A80299"/>
    <w:multiLevelType w:val="hybridMultilevel"/>
    <w:tmpl w:val="A6B029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736"/>
    <w:rsid w:val="00011104"/>
    <w:rsid w:val="00014111"/>
    <w:rsid w:val="0001642E"/>
    <w:rsid w:val="00025903"/>
    <w:rsid w:val="00033EA8"/>
    <w:rsid w:val="00036E08"/>
    <w:rsid w:val="00056043"/>
    <w:rsid w:val="00064667"/>
    <w:rsid w:val="00075E12"/>
    <w:rsid w:val="000764FF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3199"/>
    <w:rsid w:val="001150A7"/>
    <w:rsid w:val="00121818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12581"/>
    <w:rsid w:val="00237CB8"/>
    <w:rsid w:val="002459EC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48DA"/>
    <w:rsid w:val="003960C9"/>
    <w:rsid w:val="003A2160"/>
    <w:rsid w:val="003A34C1"/>
    <w:rsid w:val="003B0943"/>
    <w:rsid w:val="003B6C3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1C02"/>
    <w:rsid w:val="00573627"/>
    <w:rsid w:val="0057608A"/>
    <w:rsid w:val="00583444"/>
    <w:rsid w:val="0058663A"/>
    <w:rsid w:val="005A39E7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26B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52D04"/>
    <w:rsid w:val="00C63354"/>
    <w:rsid w:val="00C65668"/>
    <w:rsid w:val="00C778CE"/>
    <w:rsid w:val="00C80DEB"/>
    <w:rsid w:val="00C92BA3"/>
    <w:rsid w:val="00C93E4B"/>
    <w:rsid w:val="00C95EBF"/>
    <w:rsid w:val="00CA0505"/>
    <w:rsid w:val="00CB113E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657AF"/>
    <w:rsid w:val="00D72176"/>
    <w:rsid w:val="00D76304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3E35"/>
    <w:rsid w:val="00EB41CB"/>
    <w:rsid w:val="00EB7E4E"/>
    <w:rsid w:val="00EC083B"/>
    <w:rsid w:val="00EC5535"/>
    <w:rsid w:val="00EC641C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6040D599"/>
  <w15:docId w15:val="{8D8AACD8-95E7-4B09-A109-E528BAC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36D1-EE34-47A9-AD41-B49D5E8A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2020-01-07T03:39:00Z</dcterms:created>
  <dcterms:modified xsi:type="dcterms:W3CDTF">2020-01-09T06:15:00Z</dcterms:modified>
</cp:coreProperties>
</file>