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F02465"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國泰金控</w:t>
      </w:r>
      <w:r w:rsidR="00546153">
        <w:rPr>
          <w:rFonts w:ascii="Times New Roman" w:eastAsia="標楷體" w:hAnsi="Times New Roman" w:hint="eastAsia"/>
          <w:sz w:val="32"/>
          <w:szCs w:val="28"/>
        </w:rPr>
        <w:t>採納</w:t>
      </w:r>
      <w:r w:rsidR="00546153" w:rsidRPr="00546153">
        <w:rPr>
          <w:rFonts w:ascii="Times New Roman" w:eastAsia="標楷體" w:hAnsi="Times New Roman" w:hint="eastAsia"/>
          <w:sz w:val="32"/>
          <w:szCs w:val="28"/>
        </w:rPr>
        <w:t>利害關係人</w:t>
      </w:r>
      <w:r w:rsidR="00546153">
        <w:rPr>
          <w:rFonts w:ascii="Times New Roman" w:eastAsia="標楷體" w:hAnsi="Times New Roman" w:hint="eastAsia"/>
          <w:sz w:val="32"/>
          <w:szCs w:val="28"/>
        </w:rPr>
        <w:t>的</w:t>
      </w:r>
      <w:r w:rsidR="00546153" w:rsidRPr="00546153">
        <w:rPr>
          <w:rFonts w:ascii="Times New Roman" w:eastAsia="標楷體" w:hAnsi="Times New Roman" w:hint="eastAsia"/>
          <w:sz w:val="32"/>
          <w:szCs w:val="28"/>
        </w:rPr>
        <w:t>溝通意見</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AB1D93">
        <w:rPr>
          <w:rFonts w:ascii="Times New Roman" w:eastAsia="標楷體" w:hAnsi="Times New Roman" w:hint="eastAsia"/>
          <w:sz w:val="28"/>
          <w:szCs w:val="28"/>
        </w:rPr>
        <w:t>九</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F02465">
        <w:rPr>
          <w:rFonts w:ascii="Times New Roman" w:eastAsia="標楷體" w:hAnsi="Times New Roman" w:hint="eastAsia"/>
          <w:sz w:val="28"/>
          <w:szCs w:val="28"/>
        </w:rPr>
        <w:t>領先</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F02465">
        <w:rPr>
          <w:rFonts w:ascii="Times New Roman" w:eastAsia="標楷體" w:hint="eastAsia"/>
        </w:rPr>
        <w:t>國泰金控</w:t>
      </w:r>
      <w:r w:rsidRPr="00587630">
        <w:rPr>
          <w:rFonts w:ascii="Times New Roman" w:eastAsia="標楷體"/>
        </w:rPr>
        <w:t>企業社會責任報告書</w:t>
      </w:r>
    </w:p>
    <w:p w:rsidR="00FE54FA" w:rsidRPr="00F02465" w:rsidRDefault="00FE54FA" w:rsidP="00412D08">
      <w:pPr>
        <w:snapToGrid w:val="0"/>
        <w:spacing w:beforeLines="50" w:before="180" w:line="300" w:lineRule="auto"/>
        <w:ind w:left="331" w:hangingChars="138" w:hanging="331"/>
        <w:jc w:val="both"/>
        <w:rPr>
          <w:rFonts w:ascii="Times New Roman" w:eastAsia="標楷體" w:hint="eastAsia"/>
        </w:rPr>
      </w:pPr>
    </w:p>
    <w:p w:rsidR="00AB1D93" w:rsidRDefault="00AB1D93" w:rsidP="00481248">
      <w:pPr>
        <w:snapToGrid w:val="0"/>
        <w:spacing w:beforeLines="50" w:before="180" w:line="300" w:lineRule="auto"/>
        <w:ind w:left="1"/>
        <w:jc w:val="both"/>
        <w:rPr>
          <w:rFonts w:ascii="Times New Roman" w:eastAsia="標楷體" w:hAnsi="Times New Roman"/>
          <w:i/>
          <w:sz w:val="28"/>
        </w:rPr>
      </w:pPr>
      <w:r>
        <w:rPr>
          <w:rFonts w:ascii="Times New Roman" w:eastAsia="標楷體" w:hAnsi="Times New Roman" w:hint="eastAsia"/>
          <w:i/>
          <w:sz w:val="28"/>
        </w:rPr>
        <w:t>國泰金控</w:t>
      </w:r>
      <w:r w:rsidR="0038515D">
        <w:rPr>
          <w:rFonts w:ascii="Times New Roman" w:eastAsia="標楷體" w:hAnsi="Times New Roman" w:hint="eastAsia"/>
          <w:i/>
          <w:sz w:val="28"/>
        </w:rPr>
        <w:t>回應</w:t>
      </w:r>
      <w:r w:rsidR="0038515D" w:rsidRPr="0038515D">
        <w:rPr>
          <w:rFonts w:ascii="Times New Roman" w:eastAsia="標楷體" w:hAnsi="Times New Roman" w:hint="eastAsia"/>
          <w:i/>
          <w:sz w:val="28"/>
        </w:rPr>
        <w:t>利害關係人對「</w:t>
      </w:r>
      <w:r w:rsidR="0038515D">
        <w:rPr>
          <w:rFonts w:ascii="Times New Roman" w:eastAsia="標楷體" w:hAnsi="Times New Roman" w:hint="eastAsia"/>
          <w:i/>
          <w:sz w:val="28"/>
        </w:rPr>
        <w:t>ESG</w:t>
      </w:r>
      <w:r w:rsidR="0038515D">
        <w:rPr>
          <w:rFonts w:ascii="Times New Roman" w:eastAsia="標楷體" w:hAnsi="Times New Roman" w:hint="eastAsia"/>
          <w:i/>
          <w:sz w:val="28"/>
        </w:rPr>
        <w:t>議題之整併」的重視，</w:t>
      </w:r>
      <w:r w:rsidR="0038515D">
        <w:rPr>
          <w:rFonts w:ascii="Times New Roman" w:eastAsia="標楷體" w:hAnsi="Times New Roman" w:hint="eastAsia"/>
          <w:i/>
          <w:sz w:val="28"/>
        </w:rPr>
        <w:t>2015</w:t>
      </w:r>
      <w:r w:rsidR="0038515D">
        <w:rPr>
          <w:rFonts w:ascii="Times New Roman" w:eastAsia="標楷體" w:hAnsi="Times New Roman" w:hint="eastAsia"/>
          <w:i/>
          <w:sz w:val="28"/>
        </w:rPr>
        <w:t>年</w:t>
      </w:r>
      <w:r w:rsidR="0038515D" w:rsidRPr="0038515D">
        <w:rPr>
          <w:rFonts w:ascii="Times New Roman" w:eastAsia="標楷體" w:hAnsi="Times New Roman" w:hint="eastAsia"/>
          <w:i/>
          <w:sz w:val="28"/>
        </w:rPr>
        <w:t>因應巴黎氣候峰會</w:t>
      </w:r>
      <w:r w:rsidR="0038515D" w:rsidRPr="0038515D">
        <w:rPr>
          <w:rFonts w:ascii="Times New Roman" w:eastAsia="標楷體" w:hAnsi="Times New Roman" w:hint="eastAsia"/>
          <w:i/>
          <w:sz w:val="28"/>
        </w:rPr>
        <w:t>(COP21)</w:t>
      </w:r>
      <w:r w:rsidR="0038515D" w:rsidRPr="0038515D">
        <w:rPr>
          <w:rFonts w:ascii="Times New Roman" w:eastAsia="標楷體" w:hAnsi="Times New Roman" w:hint="eastAsia"/>
          <w:i/>
          <w:sz w:val="28"/>
        </w:rPr>
        <w:t>，決議簽署</w:t>
      </w:r>
      <w:r w:rsidR="0038515D" w:rsidRPr="0038515D">
        <w:rPr>
          <w:rFonts w:ascii="Times New Roman" w:eastAsia="標楷體" w:hAnsi="Times New Roman" w:hint="eastAsia"/>
          <w:i/>
          <w:sz w:val="28"/>
        </w:rPr>
        <w:t>Road To Paris</w:t>
      </w:r>
      <w:r w:rsidR="0038515D" w:rsidRPr="0038515D">
        <w:rPr>
          <w:rFonts w:ascii="Times New Roman" w:eastAsia="標楷體" w:hAnsi="Times New Roman" w:hint="eastAsia"/>
          <w:i/>
          <w:sz w:val="28"/>
        </w:rPr>
        <w:t>旗下兩項倡議活動，並在導入赤道原則後，完成台灣首宗赤道原則</w:t>
      </w:r>
      <w:bookmarkStart w:id="0" w:name="_GoBack"/>
      <w:bookmarkEnd w:id="0"/>
      <w:r w:rsidR="0038515D" w:rsidRPr="0038515D">
        <w:rPr>
          <w:rFonts w:ascii="Times New Roman" w:eastAsia="標楷體" w:hAnsi="Times New Roman" w:hint="eastAsia"/>
          <w:i/>
          <w:sz w:val="28"/>
        </w:rPr>
        <w:t>的融資貸款案件，支持台灣發展再生能源</w:t>
      </w:r>
    </w:p>
    <w:p w:rsidR="00FE54FA" w:rsidRPr="00481248" w:rsidRDefault="00FE54FA" w:rsidP="00412D08">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315DE8" w:rsidRPr="00F02465" w:rsidRDefault="00F02465" w:rsidP="00412D08">
      <w:pPr>
        <w:snapToGrid w:val="0"/>
        <w:spacing w:before="50" w:line="360" w:lineRule="auto"/>
        <w:jc w:val="both"/>
        <w:rPr>
          <w:rFonts w:ascii="Times New Roman" w:eastAsia="標楷體" w:hAnsi="Times New Roman" w:hint="eastAsia"/>
          <w:sz w:val="28"/>
        </w:rPr>
      </w:pPr>
      <w:r w:rsidRPr="00F02465">
        <w:rPr>
          <w:rFonts w:ascii="Times New Roman" w:eastAsia="標楷體" w:hAnsi="Times New Roman" w:hint="eastAsia"/>
          <w:sz w:val="28"/>
        </w:rPr>
        <w:t>國泰金融控股股份有限公司於民國九十年十二月三十一日正式成立。</w:t>
      </w:r>
      <w:r w:rsidRPr="00F02465">
        <w:rPr>
          <w:rFonts w:ascii="Times New Roman" w:eastAsia="標楷體" w:hAnsi="Times New Roman"/>
          <w:sz w:val="28"/>
        </w:rPr>
        <w:t>結合</w:t>
      </w:r>
      <w:r w:rsidRPr="00F02465">
        <w:rPr>
          <w:rFonts w:ascii="Times New Roman" w:eastAsia="標楷體" w:hAnsi="Times New Roman" w:hint="eastAsia"/>
          <w:sz w:val="28"/>
        </w:rPr>
        <w:t>國泰世華銀行、國泰人壽、國泰產險、國泰綜合證券、國泰投信</w:t>
      </w:r>
      <w:r>
        <w:rPr>
          <w:rFonts w:ascii="Times New Roman" w:eastAsia="標楷體" w:hAnsi="Times New Roman" w:hint="eastAsia"/>
          <w:sz w:val="28"/>
        </w:rPr>
        <w:t>等子公司</w:t>
      </w:r>
      <w:r w:rsidRPr="00F02465">
        <w:rPr>
          <w:rFonts w:ascii="Times New Roman" w:eastAsia="標楷體" w:hAnsi="Times New Roman"/>
          <w:sz w:val="28"/>
        </w:rPr>
        <w:t>，國泰金控架構起一個功能完整的經營平台。藉由遍佈全省之營業據點與銷售人員，發展共同行銷</w:t>
      </w:r>
      <w:r w:rsidRPr="00F02465">
        <w:rPr>
          <w:rFonts w:ascii="Times New Roman" w:eastAsia="標楷體" w:hAnsi="Times New Roman"/>
          <w:sz w:val="28"/>
        </w:rPr>
        <w:t xml:space="preserve"> (cross-selling)</w:t>
      </w:r>
      <w:r w:rsidRPr="00F02465">
        <w:rPr>
          <w:rFonts w:ascii="Times New Roman" w:eastAsia="標楷體" w:hAnsi="Times New Roman"/>
          <w:sz w:val="28"/>
        </w:rPr>
        <w:t>的策略，提供客戶一站購足</w:t>
      </w:r>
      <w:r w:rsidRPr="00F02465">
        <w:rPr>
          <w:rFonts w:ascii="Times New Roman" w:eastAsia="標楷體" w:hAnsi="Times New Roman"/>
          <w:sz w:val="28"/>
        </w:rPr>
        <w:t xml:space="preserve">(one-stop shopping) </w:t>
      </w:r>
      <w:r w:rsidRPr="00F02465">
        <w:rPr>
          <w:rFonts w:ascii="Times New Roman" w:eastAsia="標楷體" w:hAnsi="Times New Roman"/>
          <w:sz w:val="28"/>
        </w:rPr>
        <w:t>的服務。</w:t>
      </w:r>
      <w:r w:rsidRPr="00F02465">
        <w:rPr>
          <w:rFonts w:ascii="Times New Roman" w:eastAsia="標楷體" w:hAnsi="Times New Roman" w:hint="eastAsia"/>
          <w:sz w:val="28"/>
        </w:rPr>
        <w:t>目前國泰金控客戶數超過一千萬，並有七百多個分支機構，以及超過二萬名業務人員，構成最綿密的客戶服務網。</w:t>
      </w:r>
      <w:r>
        <w:rPr>
          <w:rFonts w:ascii="Times New Roman" w:eastAsia="標楷體" w:hAnsi="Times New Roman" w:hint="eastAsia"/>
          <w:sz w:val="28"/>
        </w:rPr>
        <w:t>國泰金控將</w:t>
      </w:r>
      <w:r w:rsidRPr="00F02465">
        <w:rPr>
          <w:rFonts w:ascii="Times New Roman" w:eastAsia="標楷體" w:hAnsi="Times New Roman" w:hint="eastAsia"/>
          <w:sz w:val="28"/>
        </w:rPr>
        <w:t>不斷強化員工專業能力與工作滿足程度，以提供客戶最高品質的金融服務。追求整合經營的綜效，藉以降低成本，回饋客戶與股東。累積優質的品牌形象，成為客戶心目中最值得信賴與託付的金控公司。</w:t>
      </w:r>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8A403D" w:rsidRDefault="00546153" w:rsidP="00546153">
      <w:pPr>
        <w:snapToGrid w:val="0"/>
        <w:spacing w:beforeLines="50" w:before="180" w:line="360" w:lineRule="auto"/>
        <w:jc w:val="both"/>
        <w:rPr>
          <w:rFonts w:ascii="Times New Roman" w:eastAsia="標楷體" w:hAnsi="Times New Roman"/>
          <w:sz w:val="28"/>
        </w:rPr>
      </w:pPr>
      <w:r w:rsidRPr="00546153">
        <w:rPr>
          <w:rFonts w:ascii="Times New Roman" w:eastAsia="標楷體" w:hAnsi="Times New Roman" w:hint="eastAsia"/>
          <w:sz w:val="28"/>
        </w:rPr>
        <w:t>企業邁向永續是所有利害關係人共創價值的過程，因此國泰</w:t>
      </w:r>
      <w:r>
        <w:rPr>
          <w:rFonts w:ascii="Times New Roman" w:eastAsia="標楷體" w:hAnsi="Times New Roman" w:hint="eastAsia"/>
          <w:sz w:val="28"/>
        </w:rPr>
        <w:t>金控</w:t>
      </w:r>
      <w:r w:rsidRPr="00546153">
        <w:rPr>
          <w:rFonts w:ascii="Times New Roman" w:eastAsia="標楷體" w:hAnsi="Times New Roman" w:hint="eastAsia"/>
          <w:sz w:val="28"/>
        </w:rPr>
        <w:t>一直以來非常重視利害關係人的意見。</w:t>
      </w:r>
      <w:r>
        <w:rPr>
          <w:rFonts w:ascii="Times New Roman" w:eastAsia="標楷體" w:hAnsi="Times New Roman" w:hint="eastAsia"/>
          <w:sz w:val="28"/>
        </w:rPr>
        <w:t>2014</w:t>
      </w:r>
      <w:r>
        <w:rPr>
          <w:rFonts w:ascii="Times New Roman" w:eastAsia="標楷體" w:hAnsi="Times New Roman" w:hint="eastAsia"/>
          <w:sz w:val="28"/>
        </w:rPr>
        <w:t>年</w:t>
      </w:r>
      <w:r w:rsidRPr="00546153">
        <w:rPr>
          <w:rFonts w:ascii="Times New Roman" w:eastAsia="標楷體" w:hAnsi="Times New Roman" w:hint="eastAsia"/>
          <w:sz w:val="28"/>
        </w:rPr>
        <w:t>，國泰</w:t>
      </w:r>
      <w:r>
        <w:rPr>
          <w:rFonts w:ascii="Times New Roman" w:eastAsia="標楷體" w:hAnsi="Times New Roman" w:hint="eastAsia"/>
          <w:sz w:val="28"/>
        </w:rPr>
        <w:t>金控</w:t>
      </w:r>
      <w:r w:rsidRPr="00546153">
        <w:rPr>
          <w:rFonts w:ascii="Times New Roman" w:eastAsia="標楷體" w:hAnsi="Times New Roman" w:hint="eastAsia"/>
          <w:sz w:val="28"/>
        </w:rPr>
        <w:t>因應利害關係人之重要策略調整包括：責任投資</w:t>
      </w:r>
      <w:r>
        <w:rPr>
          <w:rFonts w:ascii="Times New Roman" w:eastAsia="標楷體" w:hAnsi="Times New Roman" w:hint="eastAsia"/>
          <w:sz w:val="28"/>
        </w:rPr>
        <w:t>/</w:t>
      </w:r>
      <w:r w:rsidRPr="00546153">
        <w:rPr>
          <w:rFonts w:ascii="Times New Roman" w:eastAsia="標楷體" w:hAnsi="Times New Roman" w:hint="eastAsia"/>
          <w:sz w:val="28"/>
        </w:rPr>
        <w:t>放貸、社會倡議模式轉型，</w:t>
      </w:r>
      <w:r>
        <w:rPr>
          <w:rFonts w:ascii="Times New Roman" w:eastAsia="標楷體" w:hAnsi="Times New Roman" w:hint="eastAsia"/>
          <w:sz w:val="28"/>
        </w:rPr>
        <w:t>國泰</w:t>
      </w:r>
      <w:r>
        <w:rPr>
          <w:rFonts w:ascii="Times New Roman" w:eastAsia="標楷體" w:hAnsi="Times New Roman" w:hint="eastAsia"/>
          <w:sz w:val="28"/>
        </w:rPr>
        <w:lastRenderedPageBreak/>
        <w:t>金控</w:t>
      </w:r>
      <w:r w:rsidRPr="00546153">
        <w:rPr>
          <w:rFonts w:ascii="Times New Roman" w:eastAsia="標楷體" w:hAnsi="Times New Roman" w:hint="eastAsia"/>
          <w:sz w:val="28"/>
        </w:rPr>
        <w:t>除擬定集團公益策略外，旗下國泰世華銀行也成為全台第一間簽署赤道原則的銀行。</w:t>
      </w:r>
    </w:p>
    <w:p w:rsidR="00546153" w:rsidRPr="008A403D" w:rsidRDefault="00546153" w:rsidP="00546153">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2015</w:t>
      </w:r>
      <w:r w:rsidRPr="00546153">
        <w:rPr>
          <w:rFonts w:ascii="Times New Roman" w:eastAsia="標楷體" w:hAnsi="Times New Roman" w:hint="eastAsia"/>
          <w:sz w:val="28"/>
        </w:rPr>
        <w:t>年，延續對責任投資</w:t>
      </w:r>
      <w:r>
        <w:rPr>
          <w:rFonts w:ascii="Times New Roman" w:eastAsia="標楷體" w:hAnsi="Times New Roman" w:hint="eastAsia"/>
          <w:sz w:val="28"/>
        </w:rPr>
        <w:t>/</w:t>
      </w:r>
      <w:r w:rsidRPr="00546153">
        <w:rPr>
          <w:rFonts w:ascii="Times New Roman" w:eastAsia="標楷體" w:hAnsi="Times New Roman" w:hint="eastAsia"/>
          <w:sz w:val="28"/>
        </w:rPr>
        <w:t>放貸議題的承諾，以及利害關係人對「</w:t>
      </w:r>
      <w:r w:rsidR="0038515D">
        <w:rPr>
          <w:rFonts w:ascii="Times New Roman" w:eastAsia="標楷體" w:hAnsi="Times New Roman" w:hint="eastAsia"/>
          <w:sz w:val="28"/>
        </w:rPr>
        <w:t>ESG</w:t>
      </w:r>
      <w:r w:rsidRPr="00546153">
        <w:rPr>
          <w:rFonts w:ascii="Times New Roman" w:eastAsia="標楷體" w:hAnsi="Times New Roman" w:hint="eastAsia"/>
          <w:sz w:val="28"/>
        </w:rPr>
        <w:t>議題之整併」的重視，國泰</w:t>
      </w:r>
      <w:r w:rsidR="0038515D">
        <w:rPr>
          <w:rFonts w:ascii="Times New Roman" w:eastAsia="標楷體" w:hAnsi="Times New Roman" w:hint="eastAsia"/>
          <w:sz w:val="28"/>
        </w:rPr>
        <w:t>金控</w:t>
      </w:r>
      <w:r w:rsidRPr="00546153">
        <w:rPr>
          <w:rFonts w:ascii="Times New Roman" w:eastAsia="標楷體" w:hAnsi="Times New Roman" w:hint="eastAsia"/>
          <w:sz w:val="28"/>
        </w:rPr>
        <w:t>因應巴黎氣候峰會</w:t>
      </w:r>
      <w:r w:rsidRPr="00546153">
        <w:rPr>
          <w:rFonts w:ascii="Times New Roman" w:eastAsia="標楷體" w:hAnsi="Times New Roman" w:hint="eastAsia"/>
          <w:sz w:val="28"/>
        </w:rPr>
        <w:t>(COP21)</w:t>
      </w:r>
      <w:r w:rsidRPr="00546153">
        <w:rPr>
          <w:rFonts w:ascii="Times New Roman" w:eastAsia="標楷體" w:hAnsi="Times New Roman" w:hint="eastAsia"/>
          <w:sz w:val="28"/>
        </w:rPr>
        <w:t>，決議簽署</w:t>
      </w:r>
      <w:r>
        <w:rPr>
          <w:rFonts w:ascii="Times New Roman" w:eastAsia="標楷體" w:hAnsi="Times New Roman" w:hint="eastAsia"/>
          <w:sz w:val="28"/>
        </w:rPr>
        <w:t>Road To Paris</w:t>
      </w:r>
      <w:r w:rsidRPr="00546153">
        <w:rPr>
          <w:rFonts w:ascii="Times New Roman" w:eastAsia="標楷體" w:hAnsi="Times New Roman" w:hint="eastAsia"/>
          <w:sz w:val="28"/>
        </w:rPr>
        <w:t>旗下兩項倡議活動，並在導入赤道原則後，完成台灣首宗赤道原則的融資貸款案件，支持台灣發展再生能源；同時，連結社會倡議模式轉型的承諾，與內部同仁對「人員關係」的重視，國泰</w:t>
      </w:r>
      <w:r w:rsidR="0038515D">
        <w:rPr>
          <w:rFonts w:ascii="Times New Roman" w:eastAsia="標楷體" w:hAnsi="Times New Roman" w:hint="eastAsia"/>
          <w:sz w:val="28"/>
        </w:rPr>
        <w:t>金控</w:t>
      </w:r>
      <w:r w:rsidRPr="00546153">
        <w:rPr>
          <w:rFonts w:ascii="Times New Roman" w:eastAsia="標楷體" w:hAnsi="Times New Roman" w:hint="eastAsia"/>
          <w:sz w:val="28"/>
        </w:rPr>
        <w:t>亦於</w:t>
      </w:r>
      <w:r>
        <w:rPr>
          <w:rFonts w:ascii="Times New Roman" w:eastAsia="標楷體" w:hAnsi="Times New Roman" w:hint="eastAsia"/>
          <w:sz w:val="28"/>
        </w:rPr>
        <w:t>2015</w:t>
      </w:r>
      <w:r w:rsidRPr="00546153">
        <w:rPr>
          <w:rFonts w:ascii="Times New Roman" w:eastAsia="標楷體" w:hAnsi="Times New Roman" w:hint="eastAsia"/>
          <w:sz w:val="28"/>
        </w:rPr>
        <w:t>年舉辦多場經營員工的職場「幸福感」的活動，將「幸福再發現」議題</w:t>
      </w:r>
      <w:r w:rsidR="0038515D">
        <w:rPr>
          <w:rFonts w:ascii="Times New Roman" w:eastAsia="標楷體" w:hAnsi="Times New Roman" w:hint="eastAsia"/>
          <w:sz w:val="28"/>
        </w:rPr>
        <w:t>內化；此外，在與學界交流討論過程中，</w:t>
      </w:r>
      <w:r w:rsidRPr="00546153">
        <w:rPr>
          <w:rFonts w:ascii="Times New Roman" w:eastAsia="標楷體" w:hAnsi="Times New Roman" w:hint="eastAsia"/>
          <w:sz w:val="28"/>
        </w:rPr>
        <w:t>發現整合性報告書</w:t>
      </w:r>
      <w:r w:rsidR="0038515D">
        <w:rPr>
          <w:rFonts w:ascii="Times New Roman" w:eastAsia="標楷體" w:hAnsi="Times New Roman" w:hint="eastAsia"/>
          <w:sz w:val="28"/>
        </w:rPr>
        <w:t>(IR)</w:t>
      </w:r>
      <w:r w:rsidRPr="00546153">
        <w:rPr>
          <w:rFonts w:ascii="Times New Roman" w:eastAsia="標楷體" w:hAnsi="Times New Roman" w:hint="eastAsia"/>
          <w:sz w:val="28"/>
        </w:rPr>
        <w:t>將引領未來趨勢，因此決定將</w:t>
      </w:r>
      <w:r w:rsidR="0038515D">
        <w:rPr>
          <w:rFonts w:ascii="Times New Roman" w:eastAsia="標楷體" w:hAnsi="Times New Roman" w:hint="eastAsia"/>
          <w:sz w:val="28"/>
        </w:rPr>
        <w:t>IR</w:t>
      </w:r>
      <w:r w:rsidRPr="00546153">
        <w:rPr>
          <w:rFonts w:ascii="Times New Roman" w:eastAsia="標楷體" w:hAnsi="Times New Roman" w:hint="eastAsia"/>
          <w:sz w:val="28"/>
        </w:rPr>
        <w:t>的概念融入今年的報告書中，成為台灣率先將整合性報告書思維導入並同時採用會計師確信的金融業者之一。</w:t>
      </w:r>
    </w:p>
    <w:sectPr w:rsidR="00546153" w:rsidRPr="008A403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D2" w:rsidRDefault="00E402D2" w:rsidP="00256F30">
      <w:r>
        <w:separator/>
      </w:r>
    </w:p>
  </w:endnote>
  <w:endnote w:type="continuationSeparator" w:id="0">
    <w:p w:rsidR="00E402D2" w:rsidRDefault="00E402D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D2" w:rsidRDefault="00E402D2" w:rsidP="00256F30">
      <w:r>
        <w:separator/>
      </w:r>
    </w:p>
  </w:footnote>
  <w:footnote w:type="continuationSeparator" w:id="0">
    <w:p w:rsidR="00E402D2" w:rsidRDefault="00E402D2"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2F734A"/>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4CE9"/>
    <w:rsid w:val="0038515D"/>
    <w:rsid w:val="003868A3"/>
    <w:rsid w:val="003920E1"/>
    <w:rsid w:val="003932CA"/>
    <w:rsid w:val="003A2160"/>
    <w:rsid w:val="003A34C1"/>
    <w:rsid w:val="003B0943"/>
    <w:rsid w:val="003B7F10"/>
    <w:rsid w:val="003D1FC7"/>
    <w:rsid w:val="003D37EF"/>
    <w:rsid w:val="003D552B"/>
    <w:rsid w:val="003F2643"/>
    <w:rsid w:val="003F6391"/>
    <w:rsid w:val="00404B38"/>
    <w:rsid w:val="00412D08"/>
    <w:rsid w:val="00423CE0"/>
    <w:rsid w:val="0043076A"/>
    <w:rsid w:val="00444F98"/>
    <w:rsid w:val="004464CB"/>
    <w:rsid w:val="0045162A"/>
    <w:rsid w:val="00452C06"/>
    <w:rsid w:val="00476139"/>
    <w:rsid w:val="00481248"/>
    <w:rsid w:val="00491F32"/>
    <w:rsid w:val="004A134A"/>
    <w:rsid w:val="004D36E4"/>
    <w:rsid w:val="004F34F9"/>
    <w:rsid w:val="004F5DD5"/>
    <w:rsid w:val="004F6340"/>
    <w:rsid w:val="00510FE4"/>
    <w:rsid w:val="00513565"/>
    <w:rsid w:val="00520C87"/>
    <w:rsid w:val="00540852"/>
    <w:rsid w:val="00545641"/>
    <w:rsid w:val="00546153"/>
    <w:rsid w:val="00554C94"/>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E6A89"/>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1D93"/>
    <w:rsid w:val="00AB53C4"/>
    <w:rsid w:val="00AC0B2A"/>
    <w:rsid w:val="00AC6F7C"/>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37FC5"/>
    <w:rsid w:val="00E4007D"/>
    <w:rsid w:val="00E402D2"/>
    <w:rsid w:val="00E62167"/>
    <w:rsid w:val="00E71491"/>
    <w:rsid w:val="00E956EC"/>
    <w:rsid w:val="00E957A6"/>
    <w:rsid w:val="00EB2F98"/>
    <w:rsid w:val="00EB41CB"/>
    <w:rsid w:val="00EB7E4E"/>
    <w:rsid w:val="00EC083B"/>
    <w:rsid w:val="00EC5535"/>
    <w:rsid w:val="00ED46DF"/>
    <w:rsid w:val="00EE2A52"/>
    <w:rsid w:val="00EF7396"/>
    <w:rsid w:val="00F02465"/>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9BA7E1D-F33D-48B3-A30A-9A1D12AD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2017-01-06T05:53:00Z</dcterms:created>
  <dcterms:modified xsi:type="dcterms:W3CDTF">2017-01-06T05:53:00Z</dcterms:modified>
</cp:coreProperties>
</file>