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65" w:rsidRPr="00604993" w:rsidRDefault="00FE1265" w:rsidP="00FE1265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604993">
        <w:rPr>
          <w:rFonts w:ascii="Times New Roman" w:eastAsia="標楷體" w:hAnsi="Times New Roman"/>
          <w:sz w:val="32"/>
          <w:szCs w:val="28"/>
        </w:rPr>
        <w:t>宏遠興業的</w:t>
      </w:r>
      <w:r w:rsidR="00C53D15" w:rsidRPr="00604993">
        <w:rPr>
          <w:rFonts w:ascii="Times New Roman" w:eastAsia="標楷體" w:hAnsi="Times New Roman"/>
          <w:sz w:val="32"/>
          <w:szCs w:val="28"/>
        </w:rPr>
        <w:t>廢水排放和管理系統</w:t>
      </w:r>
      <w:r w:rsidR="00C53D15" w:rsidRPr="00604993">
        <w:rPr>
          <w:rFonts w:ascii="Times New Roman" w:eastAsia="標楷體" w:hAnsi="Times New Roman"/>
          <w:sz w:val="32"/>
          <w:szCs w:val="28"/>
        </w:rPr>
        <w:t>:</w:t>
      </w:r>
    </w:p>
    <w:p w:rsidR="00FE1265" w:rsidRPr="00604993" w:rsidRDefault="00E351CA" w:rsidP="00FE1265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604993">
        <w:rPr>
          <w:rFonts w:ascii="Times New Roman" w:eastAsia="標楷體" w:hAnsi="Times New Roman"/>
          <w:sz w:val="28"/>
          <w:szCs w:val="28"/>
        </w:rPr>
        <w:t>第</w:t>
      </w:r>
      <w:r w:rsidR="00C53D15" w:rsidRPr="00604993">
        <w:rPr>
          <w:rFonts w:ascii="Times New Roman" w:eastAsia="標楷體" w:hAnsi="Times New Roman"/>
          <w:sz w:val="28"/>
          <w:szCs w:val="28"/>
        </w:rPr>
        <w:t>十七</w:t>
      </w:r>
      <w:r w:rsidR="00FE1265" w:rsidRPr="00604993">
        <w:rPr>
          <w:rFonts w:ascii="Times New Roman" w:eastAsia="標楷體" w:hAnsi="Times New Roman"/>
          <w:sz w:val="28"/>
          <w:szCs w:val="28"/>
        </w:rPr>
        <w:t>條</w:t>
      </w:r>
      <w:r w:rsidR="00FE1265" w:rsidRPr="00604993">
        <w:rPr>
          <w:rFonts w:ascii="Times New Roman" w:eastAsia="標楷體" w:hAnsi="Times New Roman"/>
          <w:sz w:val="28"/>
          <w:szCs w:val="28"/>
        </w:rPr>
        <w:t xml:space="preserve"> </w:t>
      </w:r>
      <w:r w:rsidR="00FE1265" w:rsidRPr="00604993">
        <w:rPr>
          <w:rFonts w:ascii="Times New Roman" w:eastAsia="標楷體" w:hAnsi="Times New Roman"/>
          <w:sz w:val="28"/>
          <w:szCs w:val="28"/>
        </w:rPr>
        <w:t>等級：</w:t>
      </w:r>
      <w:r w:rsidR="00A1541E" w:rsidRPr="00604993">
        <w:rPr>
          <w:rFonts w:ascii="Times New Roman" w:eastAsia="標楷體" w:hAnsi="Times New Roman"/>
          <w:sz w:val="28"/>
          <w:szCs w:val="28"/>
        </w:rPr>
        <w:t>進階</w:t>
      </w:r>
    </w:p>
    <w:p w:rsidR="00FE1265" w:rsidRPr="00604993" w:rsidRDefault="00FE1265" w:rsidP="00FE1265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/>
        </w:rPr>
      </w:pPr>
      <w:r w:rsidRPr="00604993">
        <w:rPr>
          <w:rFonts w:ascii="Times New Roman" w:eastAsia="標楷體" w:hAnsi="Times New Roman"/>
        </w:rPr>
        <w:t>資料來源：</w:t>
      </w:r>
      <w:r w:rsidRPr="00604993">
        <w:rPr>
          <w:rFonts w:ascii="Times New Roman" w:eastAsia="標楷體" w:hAnsi="Times New Roman"/>
        </w:rPr>
        <w:t>2014</w:t>
      </w:r>
      <w:r w:rsidRPr="00604993">
        <w:rPr>
          <w:rFonts w:ascii="Times New Roman" w:eastAsia="標楷體" w:hAnsi="Times New Roman"/>
        </w:rPr>
        <w:t>年宏遠興業企業社會責任報告書</w:t>
      </w:r>
    </w:p>
    <w:p w:rsidR="00FE1265" w:rsidRPr="00604993" w:rsidRDefault="00FE1265" w:rsidP="00FE1265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 w:hAnsi="Times New Roman"/>
        </w:rPr>
      </w:pPr>
    </w:p>
    <w:p w:rsidR="00FE1265" w:rsidRPr="00604993" w:rsidRDefault="00FD41BC" w:rsidP="00EB5097">
      <w:pPr>
        <w:adjustRightInd w:val="0"/>
        <w:snapToGrid w:val="0"/>
        <w:spacing w:beforeLines="50" w:before="180" w:line="300" w:lineRule="auto"/>
        <w:rPr>
          <w:rFonts w:ascii="Times New Roman" w:eastAsia="標楷體" w:hAnsi="Times New Roman"/>
          <w:i/>
          <w:sz w:val="28"/>
        </w:rPr>
      </w:pPr>
      <w:r w:rsidRPr="00604993">
        <w:rPr>
          <w:rFonts w:ascii="Times New Roman" w:eastAsia="標楷體" w:hAnsi="Times New Roman"/>
          <w:i/>
          <w:sz w:val="28"/>
        </w:rPr>
        <w:t>水資源有限且珍貴、廢水排放不當也會造成極大的環境與社會危害，因此在廢水處理和水資源管理部分，</w:t>
      </w:r>
      <w:r w:rsidR="00FE3856" w:rsidRPr="00604993">
        <w:rPr>
          <w:rFonts w:ascii="Times New Roman" w:eastAsia="標楷體" w:hAnsi="Times New Roman"/>
          <w:i/>
          <w:sz w:val="28"/>
        </w:rPr>
        <w:t>宏遠興業</w:t>
      </w:r>
      <w:r w:rsidRPr="00604993">
        <w:rPr>
          <w:rFonts w:ascii="Times New Roman" w:eastAsia="標楷體" w:hAnsi="Times New Roman"/>
          <w:i/>
          <w:sz w:val="28"/>
        </w:rPr>
        <w:t>重視源頭管理並善用</w:t>
      </w:r>
      <w:r w:rsidR="005D203A" w:rsidRPr="00604993">
        <w:rPr>
          <w:rFonts w:ascii="Times New Roman" w:eastAsia="標楷體" w:hAnsi="Times New Roman"/>
          <w:i/>
          <w:sz w:val="28"/>
        </w:rPr>
        <w:t>7R</w:t>
      </w:r>
      <w:r w:rsidR="00A1541E" w:rsidRPr="00604993">
        <w:rPr>
          <w:rFonts w:ascii="Times New Roman" w:eastAsia="標楷體" w:hAnsi="Times New Roman"/>
          <w:i/>
          <w:sz w:val="28"/>
        </w:rPr>
        <w:t>的做法</w:t>
      </w:r>
    </w:p>
    <w:p w:rsidR="00A1541E" w:rsidRPr="00604993" w:rsidRDefault="00A1541E" w:rsidP="00EB5097">
      <w:pPr>
        <w:adjustRightInd w:val="0"/>
        <w:snapToGrid w:val="0"/>
        <w:spacing w:beforeLines="50" w:before="180" w:line="300" w:lineRule="auto"/>
        <w:rPr>
          <w:rFonts w:ascii="Times New Roman" w:eastAsia="標楷體" w:hAnsi="Times New Roman"/>
          <w:i/>
          <w:sz w:val="28"/>
        </w:rPr>
      </w:pPr>
    </w:p>
    <w:p w:rsidR="00FE1265" w:rsidRPr="00604993" w:rsidRDefault="00FE1265" w:rsidP="00FE126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04993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1E1B1E" w:rsidRPr="00604993" w:rsidRDefault="001E1B1E" w:rsidP="00EB5097">
      <w:pPr>
        <w:autoSpaceDE w:val="0"/>
        <w:autoSpaceDN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604993">
        <w:rPr>
          <w:rFonts w:ascii="Times New Roman" w:eastAsia="標楷體" w:hAnsi="Times New Roman"/>
          <w:sz w:val="28"/>
          <w:szCs w:val="28"/>
        </w:rPr>
        <w:t>宏遠於</w:t>
      </w:r>
      <w:r w:rsidR="00840E31" w:rsidRPr="00604993">
        <w:rPr>
          <w:rFonts w:ascii="Times New Roman" w:eastAsia="標楷體" w:hAnsi="Times New Roman"/>
          <w:sz w:val="28"/>
          <w:szCs w:val="28"/>
        </w:rPr>
        <w:t>1988</w:t>
      </w:r>
      <w:r w:rsidRPr="00604993">
        <w:rPr>
          <w:rFonts w:ascii="Times New Roman" w:eastAsia="標楷體" w:hAnsi="Times New Roman"/>
          <w:sz w:val="28"/>
          <w:szCs w:val="28"/>
        </w:rPr>
        <w:t>年成立，從紗、布、染整至後加工，係以創新和永續聞名國際的智慧紡織廠。</w:t>
      </w:r>
      <w:proofErr w:type="gramStart"/>
      <w:r w:rsidRPr="00604993">
        <w:rPr>
          <w:rFonts w:ascii="Times New Roman" w:eastAsia="標楷體" w:hAnsi="Times New Roman"/>
          <w:sz w:val="28"/>
          <w:szCs w:val="28"/>
        </w:rPr>
        <w:t>宏遠具垂直</w:t>
      </w:r>
      <w:proofErr w:type="gramEnd"/>
      <w:r w:rsidRPr="00604993">
        <w:rPr>
          <w:rFonts w:ascii="Times New Roman" w:eastAsia="標楷體" w:hAnsi="Times New Roman"/>
          <w:sz w:val="28"/>
          <w:szCs w:val="28"/>
        </w:rPr>
        <w:t>整合一貫廠的優勢，從研發、原料、製程到產品，以符合顧客需求為職志，致力開發對人類及生態無害的紡織品，推崇「衣的安全」。</w:t>
      </w:r>
    </w:p>
    <w:p w:rsidR="001E1B1E" w:rsidRPr="00604993" w:rsidRDefault="001E1B1E" w:rsidP="00EB5097">
      <w:pPr>
        <w:autoSpaceDE w:val="0"/>
        <w:autoSpaceDN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604993">
        <w:rPr>
          <w:rFonts w:ascii="Times New Roman" w:eastAsia="標楷體" w:hAnsi="Times New Roman"/>
          <w:sz w:val="28"/>
          <w:szCs w:val="28"/>
        </w:rPr>
        <w:t>宏遠的主要產品為假</w:t>
      </w:r>
      <w:proofErr w:type="gramStart"/>
      <w:r w:rsidRPr="00604993">
        <w:rPr>
          <w:rFonts w:ascii="Times New Roman" w:eastAsia="標楷體" w:hAnsi="Times New Roman"/>
          <w:sz w:val="28"/>
          <w:szCs w:val="28"/>
        </w:rPr>
        <w:t>撚</w:t>
      </w:r>
      <w:proofErr w:type="gramEnd"/>
      <w:r w:rsidRPr="00604993">
        <w:rPr>
          <w:rFonts w:ascii="Times New Roman" w:eastAsia="標楷體" w:hAnsi="Times New Roman"/>
          <w:sz w:val="28"/>
          <w:szCs w:val="28"/>
        </w:rPr>
        <w:t>紗，以及融合機能性的運動、戶外和時尚的生態創新布料。為保持創新領先，宏遠率先國內紡織業者於</w:t>
      </w:r>
      <w:r w:rsidR="00840E31" w:rsidRPr="00604993">
        <w:rPr>
          <w:rFonts w:ascii="Times New Roman" w:eastAsia="標楷體" w:hAnsi="Times New Roman"/>
          <w:sz w:val="28"/>
          <w:szCs w:val="28"/>
        </w:rPr>
        <w:t>2003</w:t>
      </w:r>
      <w:r w:rsidRPr="00604993">
        <w:rPr>
          <w:rFonts w:ascii="Times New Roman" w:eastAsia="標楷體" w:hAnsi="Times New Roman"/>
          <w:sz w:val="28"/>
          <w:szCs w:val="28"/>
        </w:rPr>
        <w:t>年創立國家級研發中心「尖端技術研究所」，由「物理紡織」轉型為「化學紡織」，並每年投資</w:t>
      </w:r>
      <w:r w:rsidRPr="00604993">
        <w:rPr>
          <w:rFonts w:ascii="Times New Roman" w:eastAsia="標楷體" w:hAnsi="Times New Roman"/>
          <w:sz w:val="28"/>
          <w:szCs w:val="28"/>
        </w:rPr>
        <w:t>3%</w:t>
      </w:r>
      <w:r w:rsidRPr="00604993">
        <w:rPr>
          <w:rFonts w:ascii="Times New Roman" w:eastAsia="標楷體" w:hAnsi="Times New Roman"/>
          <w:sz w:val="28"/>
          <w:szCs w:val="28"/>
        </w:rPr>
        <w:t>的營業額於研發。</w:t>
      </w:r>
      <w:r w:rsidR="00840E31" w:rsidRPr="00604993">
        <w:rPr>
          <w:rFonts w:ascii="Times New Roman" w:eastAsia="標楷體" w:hAnsi="Times New Roman"/>
          <w:sz w:val="28"/>
          <w:szCs w:val="28"/>
        </w:rPr>
        <w:t>2004</w:t>
      </w:r>
      <w:r w:rsidRPr="00604993">
        <w:rPr>
          <w:rFonts w:ascii="Times New Roman" w:eastAsia="標楷體" w:hAnsi="Times New Roman"/>
          <w:sz w:val="28"/>
          <w:szCs w:val="28"/>
        </w:rPr>
        <w:t>年，宏遠陸續增設</w:t>
      </w:r>
      <w:proofErr w:type="gramStart"/>
      <w:r w:rsidRPr="00604993">
        <w:rPr>
          <w:rFonts w:ascii="Times New Roman" w:eastAsia="標楷體" w:hAnsi="Times New Roman"/>
          <w:sz w:val="28"/>
          <w:szCs w:val="28"/>
        </w:rPr>
        <w:t>製膜機</w:t>
      </w:r>
      <w:proofErr w:type="gramEnd"/>
      <w:r w:rsidRPr="00604993">
        <w:rPr>
          <w:rFonts w:ascii="Times New Roman" w:eastAsia="標楷體" w:hAnsi="Times New Roman"/>
          <w:sz w:val="28"/>
          <w:szCs w:val="28"/>
        </w:rPr>
        <w:t>、貼合機、塗</w:t>
      </w:r>
      <w:proofErr w:type="gramStart"/>
      <w:r w:rsidRPr="00604993">
        <w:rPr>
          <w:rFonts w:ascii="Times New Roman" w:eastAsia="標楷體" w:hAnsi="Times New Roman"/>
          <w:sz w:val="28"/>
          <w:szCs w:val="28"/>
        </w:rPr>
        <w:t>佈</w:t>
      </w:r>
      <w:proofErr w:type="gramEnd"/>
      <w:r w:rsidRPr="00604993">
        <w:rPr>
          <w:rFonts w:ascii="Times New Roman" w:eastAsia="標楷體" w:hAnsi="Times New Roman"/>
          <w:sz w:val="28"/>
          <w:szCs w:val="28"/>
        </w:rPr>
        <w:t>機，以及印花機，投入新材料領域；</w:t>
      </w:r>
      <w:r w:rsidR="00840E31" w:rsidRPr="00604993">
        <w:rPr>
          <w:rFonts w:ascii="Times New Roman" w:eastAsia="標楷體" w:hAnsi="Times New Roman"/>
          <w:sz w:val="28"/>
          <w:szCs w:val="28"/>
        </w:rPr>
        <w:t>2014</w:t>
      </w:r>
      <w:r w:rsidRPr="00604993">
        <w:rPr>
          <w:rFonts w:ascii="Times New Roman" w:eastAsia="標楷體" w:hAnsi="Times New Roman"/>
          <w:sz w:val="28"/>
          <w:szCs w:val="28"/>
        </w:rPr>
        <w:t>年起，擴廠投資針織布品，成為</w:t>
      </w:r>
      <w:proofErr w:type="gramStart"/>
      <w:r w:rsidRPr="00604993">
        <w:rPr>
          <w:rFonts w:ascii="Times New Roman" w:eastAsia="標楷體" w:hAnsi="Times New Roman"/>
          <w:sz w:val="28"/>
          <w:szCs w:val="28"/>
        </w:rPr>
        <w:t>針平兩取</w:t>
      </w:r>
      <w:proofErr w:type="gramEnd"/>
      <w:r w:rsidRPr="00604993">
        <w:rPr>
          <w:rFonts w:ascii="Times New Roman" w:eastAsia="標楷體" w:hAnsi="Times New Roman"/>
          <w:sz w:val="28"/>
          <w:szCs w:val="28"/>
        </w:rPr>
        <w:t>的一貫化專業廠，提供整合性服務。</w:t>
      </w:r>
    </w:p>
    <w:p w:rsidR="001E1B1E" w:rsidRPr="00604993" w:rsidRDefault="001E1B1E" w:rsidP="00EB5097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proofErr w:type="gramStart"/>
      <w:r w:rsidRPr="00604993">
        <w:rPr>
          <w:rFonts w:ascii="Times New Roman" w:eastAsia="標楷體" w:hAnsi="Times New Roman"/>
          <w:sz w:val="28"/>
          <w:szCs w:val="28"/>
        </w:rPr>
        <w:t>宏遠以台灣</w:t>
      </w:r>
      <w:proofErr w:type="gramEnd"/>
      <w:r w:rsidRPr="00604993">
        <w:rPr>
          <w:rFonts w:ascii="Times New Roman" w:eastAsia="標楷體" w:hAnsi="Times New Roman"/>
          <w:sz w:val="28"/>
          <w:szCs w:val="28"/>
        </w:rPr>
        <w:t>為全球運籌中心，總公司及生產基地設立於台南，另在中國上海及泰國拉加布里設廠，全球共設有</w:t>
      </w:r>
      <w:r w:rsidR="00840E31" w:rsidRPr="00604993">
        <w:rPr>
          <w:rFonts w:ascii="Times New Roman" w:eastAsia="標楷體" w:hAnsi="Times New Roman"/>
          <w:sz w:val="28"/>
          <w:szCs w:val="28"/>
        </w:rPr>
        <w:t>10</w:t>
      </w:r>
      <w:r w:rsidRPr="00604993">
        <w:rPr>
          <w:rFonts w:ascii="Times New Roman" w:eastAsia="標楷體" w:hAnsi="Times New Roman"/>
          <w:sz w:val="28"/>
          <w:szCs w:val="28"/>
        </w:rPr>
        <w:t>個行銷據點。此佈局成為宏遠競爭優勢，將服務版圖橫跨美洲、歐洲、亞洲等地。三個工廠接近成衣供應鏈，有利客戶在成本交期的調度需求，也符合低碳運輸的考量。透過接近客戶的全球行銷據點，密集直接拜訪顧客，及參加各地區重要展會，形成綿密服務與行銷網，將事業版圖推向全球。</w:t>
      </w:r>
    </w:p>
    <w:p w:rsidR="00EB5097" w:rsidRPr="00604993" w:rsidRDefault="00EB5097" w:rsidP="00EB5097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1E1B1E" w:rsidRPr="00604993" w:rsidRDefault="001E1B1E" w:rsidP="00EB5097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604993">
        <w:rPr>
          <w:rFonts w:ascii="Times New Roman" w:eastAsia="標楷體" w:hAnsi="Times New Roman"/>
          <w:kern w:val="0"/>
          <w:sz w:val="28"/>
          <w:szCs w:val="28"/>
        </w:rPr>
        <w:t>主要產品與製造能力：</w:t>
      </w:r>
    </w:p>
    <w:p w:rsidR="001E1B1E" w:rsidRPr="00EC791A" w:rsidRDefault="001E1B1E" w:rsidP="00EC791A">
      <w:pPr>
        <w:pStyle w:val="a9"/>
        <w:numPr>
          <w:ilvl w:val="0"/>
          <w:numId w:val="3"/>
        </w:numPr>
        <w:autoSpaceDE w:val="0"/>
        <w:autoSpaceDN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EC791A">
        <w:rPr>
          <w:rFonts w:ascii="Times New Roman" w:eastAsia="標楷體" w:hAnsi="Times New Roman"/>
          <w:kern w:val="0"/>
          <w:sz w:val="28"/>
          <w:szCs w:val="28"/>
        </w:rPr>
        <w:t>長短</w:t>
      </w:r>
      <w:proofErr w:type="gramStart"/>
      <w:r w:rsidRPr="00EC791A">
        <w:rPr>
          <w:rFonts w:ascii="Times New Roman" w:eastAsia="標楷體" w:hAnsi="Times New Roman"/>
          <w:kern w:val="0"/>
          <w:sz w:val="28"/>
          <w:szCs w:val="28"/>
        </w:rPr>
        <w:t>纖</w:t>
      </w:r>
      <w:proofErr w:type="gramEnd"/>
      <w:r w:rsidRPr="00EC791A">
        <w:rPr>
          <w:rFonts w:ascii="Times New Roman" w:eastAsia="標楷體" w:hAnsi="Times New Roman"/>
          <w:kern w:val="0"/>
          <w:sz w:val="28"/>
          <w:szCs w:val="28"/>
        </w:rPr>
        <w:t>織物</w:t>
      </w:r>
      <w:r w:rsidRPr="00EC791A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EC791A">
        <w:rPr>
          <w:rFonts w:ascii="Times New Roman" w:eastAsia="標楷體" w:hAnsi="Times New Roman"/>
          <w:kern w:val="0"/>
          <w:sz w:val="28"/>
          <w:szCs w:val="28"/>
        </w:rPr>
        <w:t>梭織</w:t>
      </w:r>
      <w:r w:rsidRPr="00EC791A">
        <w:rPr>
          <w:rFonts w:ascii="Times New Roman" w:eastAsia="標楷體" w:hAnsi="Times New Roman"/>
          <w:kern w:val="0"/>
          <w:sz w:val="28"/>
          <w:szCs w:val="28"/>
        </w:rPr>
        <w:t>/</w:t>
      </w:r>
      <w:r w:rsidRPr="00EC791A">
        <w:rPr>
          <w:rFonts w:ascii="Times New Roman" w:eastAsia="標楷體" w:hAnsi="Times New Roman"/>
          <w:kern w:val="0"/>
          <w:sz w:val="28"/>
          <w:szCs w:val="28"/>
        </w:rPr>
        <w:t>針織</w:t>
      </w:r>
      <w:r w:rsidRPr="00EC791A">
        <w:rPr>
          <w:rFonts w:ascii="Times New Roman" w:eastAsia="標楷體" w:hAnsi="Times New Roman"/>
          <w:kern w:val="0"/>
          <w:sz w:val="28"/>
          <w:szCs w:val="28"/>
        </w:rPr>
        <w:t>)</w:t>
      </w:r>
    </w:p>
    <w:p w:rsidR="001E1B1E" w:rsidRPr="00EC791A" w:rsidRDefault="001E1B1E" w:rsidP="00EC791A">
      <w:pPr>
        <w:pStyle w:val="a9"/>
        <w:numPr>
          <w:ilvl w:val="0"/>
          <w:numId w:val="3"/>
        </w:numPr>
        <w:autoSpaceDE w:val="0"/>
        <w:autoSpaceDN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EC791A">
        <w:rPr>
          <w:rFonts w:ascii="Times New Roman" w:eastAsia="標楷體" w:hAnsi="Times New Roman"/>
          <w:kern w:val="0"/>
          <w:sz w:val="28"/>
          <w:szCs w:val="28"/>
        </w:rPr>
        <w:t>加工紗</w:t>
      </w:r>
    </w:p>
    <w:p w:rsidR="001E1B1E" w:rsidRPr="00EC791A" w:rsidRDefault="001E1B1E" w:rsidP="00EC791A">
      <w:pPr>
        <w:pStyle w:val="a9"/>
        <w:numPr>
          <w:ilvl w:val="0"/>
          <w:numId w:val="3"/>
        </w:numPr>
        <w:autoSpaceDE w:val="0"/>
        <w:autoSpaceDN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EC791A">
        <w:rPr>
          <w:rFonts w:ascii="Times New Roman" w:eastAsia="標楷體" w:hAnsi="Times New Roman"/>
          <w:kern w:val="0"/>
          <w:sz w:val="28"/>
          <w:szCs w:val="28"/>
        </w:rPr>
        <w:t>特殊原材料</w:t>
      </w:r>
    </w:p>
    <w:p w:rsidR="001E1B1E" w:rsidRPr="00EC791A" w:rsidRDefault="001E1B1E" w:rsidP="00EC791A">
      <w:pPr>
        <w:pStyle w:val="a9"/>
        <w:numPr>
          <w:ilvl w:val="0"/>
          <w:numId w:val="3"/>
        </w:numPr>
        <w:autoSpaceDE w:val="0"/>
        <w:autoSpaceDN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EC791A">
        <w:rPr>
          <w:rFonts w:ascii="Times New Roman" w:eastAsia="標楷體" w:hAnsi="Times New Roman"/>
          <w:kern w:val="0"/>
          <w:sz w:val="28"/>
          <w:szCs w:val="28"/>
        </w:rPr>
        <w:t>複合功能膜</w:t>
      </w:r>
    </w:p>
    <w:p w:rsidR="001E1B1E" w:rsidRPr="00EC791A" w:rsidRDefault="001E1B1E" w:rsidP="00EC791A">
      <w:pPr>
        <w:pStyle w:val="a9"/>
        <w:numPr>
          <w:ilvl w:val="0"/>
          <w:numId w:val="3"/>
        </w:numPr>
        <w:autoSpaceDE w:val="0"/>
        <w:autoSpaceDN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EC791A">
        <w:rPr>
          <w:rFonts w:ascii="Times New Roman" w:eastAsia="標楷體" w:hAnsi="Times New Roman"/>
          <w:kern w:val="0"/>
          <w:sz w:val="28"/>
          <w:szCs w:val="28"/>
        </w:rPr>
        <w:t>特殊染整後加工製程</w:t>
      </w:r>
    </w:p>
    <w:p w:rsidR="001E1B1E" w:rsidRPr="00EC791A" w:rsidRDefault="001E1B1E" w:rsidP="00EC791A">
      <w:pPr>
        <w:pStyle w:val="a9"/>
        <w:numPr>
          <w:ilvl w:val="0"/>
          <w:numId w:val="3"/>
        </w:numPr>
        <w:autoSpaceDE w:val="0"/>
        <w:autoSpaceDN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EC791A">
        <w:rPr>
          <w:rFonts w:ascii="Times New Roman" w:eastAsia="標楷體" w:hAnsi="Times New Roman"/>
          <w:kern w:val="0"/>
          <w:sz w:val="28"/>
          <w:szCs w:val="28"/>
        </w:rPr>
        <w:t>塗</w:t>
      </w:r>
      <w:proofErr w:type="gramStart"/>
      <w:r w:rsidRPr="00EC791A">
        <w:rPr>
          <w:rFonts w:ascii="Times New Roman" w:eastAsia="標楷體" w:hAnsi="Times New Roman"/>
          <w:kern w:val="0"/>
          <w:sz w:val="28"/>
          <w:szCs w:val="28"/>
        </w:rPr>
        <w:t>佈</w:t>
      </w:r>
      <w:proofErr w:type="gramEnd"/>
      <w:r w:rsidRPr="00EC791A">
        <w:rPr>
          <w:rFonts w:ascii="Times New Roman" w:eastAsia="標楷體" w:hAnsi="Times New Roman"/>
          <w:kern w:val="0"/>
          <w:sz w:val="28"/>
          <w:szCs w:val="28"/>
        </w:rPr>
        <w:t>和貼合</w:t>
      </w:r>
    </w:p>
    <w:p w:rsidR="001E1B1E" w:rsidRPr="00EC791A" w:rsidRDefault="001E1B1E" w:rsidP="00EC791A">
      <w:pPr>
        <w:pStyle w:val="a9"/>
        <w:numPr>
          <w:ilvl w:val="0"/>
          <w:numId w:val="3"/>
        </w:numPr>
        <w:autoSpaceDE w:val="0"/>
        <w:autoSpaceDN w:val="0"/>
        <w:snapToGrid w:val="0"/>
        <w:spacing w:before="50" w:line="360" w:lineRule="auto"/>
        <w:ind w:leftChars="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EC791A">
        <w:rPr>
          <w:rFonts w:ascii="Times New Roman" w:eastAsia="標楷體" w:hAnsi="Times New Roman"/>
          <w:kern w:val="0"/>
          <w:sz w:val="28"/>
          <w:szCs w:val="28"/>
        </w:rPr>
        <w:t>成衣</w:t>
      </w:r>
    </w:p>
    <w:p w:rsidR="00A1541E" w:rsidRPr="00604993" w:rsidRDefault="00A1541E" w:rsidP="00EB5097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</w:p>
    <w:p w:rsidR="00FE1265" w:rsidRPr="00604993" w:rsidRDefault="00FE1265" w:rsidP="00EB5097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604993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C22A5A" w:rsidRPr="00604993" w:rsidRDefault="00C53D15" w:rsidP="00EB5097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604993">
        <w:rPr>
          <w:rFonts w:ascii="Times New Roman" w:eastAsia="標楷體" w:hAnsi="Times New Roman"/>
          <w:kern w:val="0"/>
          <w:sz w:val="28"/>
          <w:szCs w:val="28"/>
        </w:rPr>
        <w:t>廢水排放和管理系統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:</w:t>
      </w:r>
    </w:p>
    <w:p w:rsidR="00C53D15" w:rsidRPr="00604993" w:rsidRDefault="00C53D15" w:rsidP="00EB5097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604993">
        <w:rPr>
          <w:rFonts w:ascii="Times New Roman" w:eastAsia="標楷體" w:hAnsi="Times New Roman"/>
          <w:kern w:val="0"/>
          <w:sz w:val="28"/>
          <w:szCs w:val="28"/>
        </w:rPr>
        <w:t>水資源有限且珍貴、廢水排放不當也會造成極大的環境與社會危害，因此在廢水處理和水資源管理部分，</w:t>
      </w:r>
      <w:r w:rsidR="00FE3856" w:rsidRPr="00604993">
        <w:rPr>
          <w:rFonts w:ascii="Times New Roman" w:eastAsia="標楷體" w:hAnsi="Times New Roman"/>
          <w:kern w:val="0"/>
          <w:sz w:val="28"/>
          <w:szCs w:val="28"/>
        </w:rPr>
        <w:t>宏遠興業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重視源頭管理並善用</w:t>
      </w:r>
      <w:r w:rsidR="00340509">
        <w:rPr>
          <w:rFonts w:ascii="Times New Roman" w:eastAsia="標楷體" w:hAnsi="Times New Roman"/>
          <w:kern w:val="0"/>
          <w:sz w:val="28"/>
          <w:szCs w:val="28"/>
        </w:rPr>
        <w:t>7R</w:t>
      </w:r>
      <w:bookmarkStart w:id="0" w:name="_GoBack"/>
      <w:bookmarkEnd w:id="0"/>
      <w:r w:rsidRPr="00604993">
        <w:rPr>
          <w:rFonts w:ascii="Times New Roman" w:eastAsia="標楷體" w:hAnsi="Times New Roman"/>
          <w:kern w:val="0"/>
          <w:sz w:val="28"/>
          <w:szCs w:val="28"/>
        </w:rPr>
        <w:t>的做法。透過管控</w:t>
      </w: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染料助劑和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化學品使用，提升確保原料的安全和使用效能，以降低污染。在做法上，</w:t>
      </w:r>
      <w:r w:rsidR="00FE3856" w:rsidRPr="00604993">
        <w:rPr>
          <w:rFonts w:ascii="Times New Roman" w:eastAsia="標楷體" w:hAnsi="Times New Roman"/>
          <w:kern w:val="0"/>
          <w:sz w:val="28"/>
          <w:szCs w:val="28"/>
        </w:rPr>
        <w:t>宏遠興業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依廠區的生產特性，廢水依特性分類處理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專管回收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，從源頭進行分流和系統性的處理。並透過生物處理法或適度藥劑投入，與每日詳實的管理和監控，達到精實用水，降低污染，促進水資源與廢棄物循環再利用，及維護環境等。以下提供宏遠廢水處理流程，讓利害關係人了解</w:t>
      </w:r>
      <w:r w:rsidR="00FE3856" w:rsidRPr="00604993">
        <w:rPr>
          <w:rFonts w:ascii="Times New Roman" w:eastAsia="標楷體" w:hAnsi="Times New Roman"/>
          <w:kern w:val="0"/>
          <w:sz w:val="28"/>
          <w:szCs w:val="28"/>
        </w:rPr>
        <w:t>宏遠興業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的處理方法。</w:t>
      </w:r>
    </w:p>
    <w:p w:rsidR="00C53D15" w:rsidRPr="00604993" w:rsidRDefault="00C53D15" w:rsidP="00EB5097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kern w:val="0"/>
          <w:szCs w:val="24"/>
        </w:rPr>
      </w:pPr>
      <w:r w:rsidRPr="00604993">
        <w:rPr>
          <w:rFonts w:ascii="Times New Roman" w:eastAsia="標楷體" w:hAnsi="Times New Roman"/>
          <w:noProof/>
          <w:kern w:val="0"/>
          <w:szCs w:val="24"/>
        </w:rPr>
        <w:lastRenderedPageBreak/>
        <w:drawing>
          <wp:inline distT="0" distB="0" distL="0" distR="0" wp14:anchorId="1A6D5547" wp14:editId="6F6D3651">
            <wp:extent cx="5274310" cy="379412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宏遠廢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D15" w:rsidRPr="00604993" w:rsidRDefault="00FE3856" w:rsidP="00EB5097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604993">
        <w:rPr>
          <w:rFonts w:ascii="Times New Roman" w:eastAsia="標楷體" w:hAnsi="Times New Roman"/>
          <w:kern w:val="0"/>
          <w:sz w:val="28"/>
          <w:szCs w:val="28"/>
        </w:rPr>
        <w:t>宏遠興業</w:t>
      </w:r>
      <w:r w:rsidR="00C53D15" w:rsidRPr="00604993">
        <w:rPr>
          <w:rFonts w:ascii="Times New Roman" w:eastAsia="標楷體" w:hAnsi="Times New Roman"/>
          <w:kern w:val="0"/>
          <w:sz w:val="28"/>
          <w:szCs w:val="28"/>
        </w:rPr>
        <w:t>依廢水特性及處理流程單元差異，區分為四個處理系統，其流程如下</w:t>
      </w:r>
      <w:r w:rsidR="00C53D15" w:rsidRPr="00604993">
        <w:rPr>
          <w:rFonts w:ascii="Times New Roman" w:eastAsia="標楷體" w:hAnsi="Times New Roman"/>
          <w:kern w:val="0"/>
          <w:sz w:val="28"/>
          <w:szCs w:val="28"/>
        </w:rPr>
        <w:t>:</w:t>
      </w:r>
    </w:p>
    <w:p w:rsidR="00C53D15" w:rsidRPr="00604993" w:rsidRDefault="00C53D15" w:rsidP="00EB5097">
      <w:pPr>
        <w:pStyle w:val="a9"/>
        <w:numPr>
          <w:ilvl w:val="0"/>
          <w:numId w:val="1"/>
        </w:numPr>
        <w:autoSpaceDE w:val="0"/>
        <w:autoSpaceDN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604993">
        <w:rPr>
          <w:rFonts w:ascii="Times New Roman" w:eastAsia="標楷體" w:hAnsi="Times New Roman"/>
          <w:kern w:val="0"/>
          <w:sz w:val="28"/>
          <w:szCs w:val="28"/>
        </w:rPr>
        <w:t>綜合廢水處理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: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處理廠內染整及其他製程與生活廢水為主要廢水來源，以生物活性污泥處理為主要處理單元，利用</w:t>
      </w: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微生物降解廢水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中有機污染物，經</w:t>
      </w: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沉澱池固液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分離，後續再搭配</w:t>
      </w: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化學浮除系統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處理，達到放流水標準後進行放流。</w:t>
      </w:r>
    </w:p>
    <w:p w:rsidR="00C53D15" w:rsidRPr="00604993" w:rsidRDefault="00C53D15" w:rsidP="00EB5097">
      <w:pPr>
        <w:pStyle w:val="a9"/>
        <w:numPr>
          <w:ilvl w:val="0"/>
          <w:numId w:val="1"/>
        </w:numPr>
        <w:autoSpaceDE w:val="0"/>
        <w:autoSpaceDN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退漿廢水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處理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: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廢水來源以</w:t>
      </w: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經染四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系統處理後之聚乙烯醇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(PVA)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廢水排入，與高濃度壓克力</w:t>
      </w: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退漿廢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液兩股混合為主。該股廢水特性需先經</w:t>
      </w: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化學浮除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，再流入生物污泥系統處理後，經</w:t>
      </w: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沉澱池固液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分離並進行放流。</w:t>
      </w:r>
    </w:p>
    <w:p w:rsidR="00C53D15" w:rsidRPr="00604993" w:rsidRDefault="00C53D15" w:rsidP="00EB5097">
      <w:pPr>
        <w:pStyle w:val="a9"/>
        <w:numPr>
          <w:ilvl w:val="0"/>
          <w:numId w:val="1"/>
        </w:numPr>
        <w:autoSpaceDE w:val="0"/>
        <w:autoSpaceDN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604993">
        <w:rPr>
          <w:rFonts w:ascii="Times New Roman" w:eastAsia="標楷體" w:hAnsi="Times New Roman"/>
          <w:kern w:val="0"/>
          <w:sz w:val="28"/>
          <w:szCs w:val="28"/>
        </w:rPr>
        <w:t>染四廢水處理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: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以處理聚乙烯醇</w:t>
      </w:r>
      <w:r w:rsidR="00A1541E" w:rsidRPr="00604993">
        <w:rPr>
          <w:rFonts w:ascii="Times New Roman" w:eastAsia="標楷體" w:hAnsi="Times New Roman"/>
          <w:kern w:val="0"/>
          <w:sz w:val="28"/>
          <w:szCs w:val="28"/>
        </w:rPr>
        <w:t>(PVA)</w:t>
      </w: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退漿廢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液為主，</w:t>
      </w: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以厭氣消化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為主體，利用</w:t>
      </w: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厭氣菌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進行污染物特性轉換，再接以活性污泥系統理後將此股廢水</w:t>
      </w: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導入退漿廢水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系統與高濃度壓克力退漿液一併處理。</w:t>
      </w:r>
    </w:p>
    <w:p w:rsidR="00C53D15" w:rsidRPr="00604993" w:rsidRDefault="00C53D15" w:rsidP="00EB5097">
      <w:pPr>
        <w:pStyle w:val="a9"/>
        <w:numPr>
          <w:ilvl w:val="0"/>
          <w:numId w:val="1"/>
        </w:numPr>
        <w:autoSpaceDE w:val="0"/>
        <w:autoSpaceDN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604993">
        <w:rPr>
          <w:rFonts w:ascii="Times New Roman" w:eastAsia="標楷體" w:hAnsi="Times New Roman"/>
          <w:kern w:val="0"/>
          <w:sz w:val="28"/>
          <w:szCs w:val="28"/>
        </w:rPr>
        <w:lastRenderedPageBreak/>
        <w:t>織布廢水處理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:</w:t>
      </w:r>
      <w:r w:rsidRPr="00604993">
        <w:rPr>
          <w:rFonts w:ascii="Times New Roman" w:eastAsia="標楷體" w:hAnsi="Times New Roman"/>
          <w:kern w:val="0"/>
          <w:sz w:val="28"/>
          <w:szCs w:val="28"/>
        </w:rPr>
        <w:t>處理織布端所產生之油蠟廢水，採用生物活性污泥法處理，經沉澱後再以</w:t>
      </w:r>
      <w:proofErr w:type="gramStart"/>
      <w:r w:rsidRPr="00604993">
        <w:rPr>
          <w:rFonts w:ascii="Times New Roman" w:eastAsia="標楷體" w:hAnsi="Times New Roman"/>
          <w:kern w:val="0"/>
          <w:sz w:val="28"/>
          <w:szCs w:val="28"/>
        </w:rPr>
        <w:t>砂濾塔</w:t>
      </w:r>
      <w:proofErr w:type="gramEnd"/>
      <w:r w:rsidRPr="00604993">
        <w:rPr>
          <w:rFonts w:ascii="Times New Roman" w:eastAsia="標楷體" w:hAnsi="Times New Roman"/>
          <w:kern w:val="0"/>
          <w:sz w:val="28"/>
          <w:szCs w:val="28"/>
        </w:rPr>
        <w:t>處理進行回收再利用。</w:t>
      </w:r>
    </w:p>
    <w:sectPr w:rsidR="00C53D15" w:rsidRPr="006049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DD" w:rsidRDefault="00591BDD" w:rsidP="00285B33">
      <w:r>
        <w:separator/>
      </w:r>
    </w:p>
  </w:endnote>
  <w:endnote w:type="continuationSeparator" w:id="0">
    <w:p w:rsidR="00591BDD" w:rsidRDefault="00591BDD" w:rsidP="0028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DD" w:rsidRDefault="00591BDD" w:rsidP="00285B33">
      <w:r>
        <w:separator/>
      </w:r>
    </w:p>
  </w:footnote>
  <w:footnote w:type="continuationSeparator" w:id="0">
    <w:p w:rsidR="00591BDD" w:rsidRDefault="00591BDD" w:rsidP="0028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A7E"/>
    <w:multiLevelType w:val="hybridMultilevel"/>
    <w:tmpl w:val="6FC08AE2"/>
    <w:lvl w:ilvl="0" w:tplc="38AA474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D35EE0"/>
    <w:multiLevelType w:val="hybridMultilevel"/>
    <w:tmpl w:val="04441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6614564"/>
    <w:multiLevelType w:val="hybridMultilevel"/>
    <w:tmpl w:val="B5C269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5"/>
    <w:rsid w:val="001E1B1E"/>
    <w:rsid w:val="00285B33"/>
    <w:rsid w:val="002C6A16"/>
    <w:rsid w:val="00340509"/>
    <w:rsid w:val="003B4B61"/>
    <w:rsid w:val="00591BDD"/>
    <w:rsid w:val="005D203A"/>
    <w:rsid w:val="00604993"/>
    <w:rsid w:val="007B25ED"/>
    <w:rsid w:val="00840E31"/>
    <w:rsid w:val="008B0F1F"/>
    <w:rsid w:val="00A00077"/>
    <w:rsid w:val="00A1541E"/>
    <w:rsid w:val="00AF74BB"/>
    <w:rsid w:val="00C22A5A"/>
    <w:rsid w:val="00C53D15"/>
    <w:rsid w:val="00CA630E"/>
    <w:rsid w:val="00D61094"/>
    <w:rsid w:val="00E351CA"/>
    <w:rsid w:val="00EB5097"/>
    <w:rsid w:val="00EC791A"/>
    <w:rsid w:val="00FD41BC"/>
    <w:rsid w:val="00FE1265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2A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B3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B33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E38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2A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B3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B33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E38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BCSD20150824</cp:lastModifiedBy>
  <cp:revision>12</cp:revision>
  <dcterms:created xsi:type="dcterms:W3CDTF">2015-12-25T03:34:00Z</dcterms:created>
  <dcterms:modified xsi:type="dcterms:W3CDTF">2015-12-25T07:42:00Z</dcterms:modified>
</cp:coreProperties>
</file>