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2B269E60" w:rsidR="008D1DBF" w:rsidRPr="00B14B3C" w:rsidRDefault="00CD7E5B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富邦金控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9A7EB1" w:rsidRPr="009A7EB1">
        <w:rPr>
          <w:rFonts w:ascii="Times New Roman" w:eastAsia="標楷體" w:hAnsi="Times New Roman" w:cs="Times New Roman" w:hint="eastAsia"/>
          <w:sz w:val="32"/>
          <w:szCs w:val="32"/>
        </w:rPr>
        <w:t>再生能源投資</w:t>
      </w:r>
    </w:p>
    <w:p w14:paraId="13C23CEC" w14:textId="4C30A487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FE315F">
        <w:rPr>
          <w:rFonts w:ascii="Times New Roman" w:eastAsia="標楷體" w:hAnsi="Times New Roman" w:hint="eastAsia"/>
          <w:sz w:val="28"/>
          <w:szCs w:val="28"/>
        </w:rPr>
        <w:t>十</w:t>
      </w:r>
      <w:r w:rsidR="00D70CB0">
        <w:rPr>
          <w:rFonts w:ascii="Times New Roman" w:eastAsia="標楷體" w:hAnsi="Times New Roman" w:hint="eastAsia"/>
          <w:sz w:val="28"/>
          <w:szCs w:val="28"/>
        </w:rPr>
        <w:t>五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9A7EB1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1DA7DC63" w14:textId="20E9645D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CD7E5B">
        <w:rPr>
          <w:rFonts w:ascii="Times New Roman" w:eastAsia="標楷體" w:hint="eastAsia"/>
        </w:rPr>
        <w:t>富邦金控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6814B6D" w14:textId="3945A24C" w:rsidR="001279CB" w:rsidRDefault="00641462" w:rsidP="009A7EB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富邦金控</w:t>
      </w:r>
      <w:r w:rsidR="009A7EB1" w:rsidRPr="009A7EB1">
        <w:rPr>
          <w:rFonts w:ascii="Times New Roman" w:eastAsia="標楷體" w:hAnsi="Times New Roman" w:hint="eastAsia"/>
          <w:i/>
          <w:kern w:val="0"/>
          <w:sz w:val="28"/>
          <w:szCs w:val="26"/>
        </w:rPr>
        <w:t>響應國際再生能源趨勢、配合政府政策並履踐環保承諾，持續支持發展再生能源</w:t>
      </w:r>
      <w:r w:rsidR="009A7EB1">
        <w:rPr>
          <w:rFonts w:ascii="Times New Roman" w:eastAsia="標楷體" w:hAnsi="Times New Roman" w:hint="eastAsia"/>
          <w:i/>
          <w:kern w:val="0"/>
          <w:sz w:val="28"/>
          <w:szCs w:val="26"/>
        </w:rPr>
        <w:t>，積極於各所屬大樓</w:t>
      </w:r>
      <w:r w:rsidR="00AE5CCD">
        <w:rPr>
          <w:rFonts w:ascii="Times New Roman" w:eastAsia="標楷體" w:hAnsi="Times New Roman" w:hint="eastAsia"/>
          <w:i/>
          <w:kern w:val="0"/>
          <w:sz w:val="28"/>
          <w:szCs w:val="26"/>
        </w:rPr>
        <w:t>投資</w:t>
      </w:r>
      <w:r w:rsidR="009A7EB1">
        <w:rPr>
          <w:rFonts w:ascii="Times New Roman" w:eastAsia="標楷體" w:hAnsi="Times New Roman" w:hint="eastAsia"/>
          <w:i/>
          <w:kern w:val="0"/>
          <w:sz w:val="28"/>
          <w:szCs w:val="26"/>
        </w:rPr>
        <w:t>建置</w:t>
      </w:r>
      <w:r w:rsidR="009A7EB1" w:rsidRPr="009A7EB1">
        <w:rPr>
          <w:rFonts w:ascii="Times New Roman" w:eastAsia="標楷體" w:hAnsi="Times New Roman" w:hint="eastAsia"/>
          <w:i/>
          <w:kern w:val="0"/>
          <w:sz w:val="28"/>
          <w:szCs w:val="26"/>
        </w:rPr>
        <w:t>太陽能光電板</w:t>
      </w:r>
    </w:p>
    <w:p w14:paraId="3F6FFD99" w14:textId="77777777" w:rsidR="00AE5CCD" w:rsidRPr="00F32720" w:rsidRDefault="00AE5CCD" w:rsidP="009A7EB1">
      <w:pPr>
        <w:autoSpaceDE w:val="0"/>
        <w:autoSpaceDN w:val="0"/>
        <w:adjustRightInd w:val="0"/>
        <w:snapToGrid w:val="0"/>
        <w:rPr>
          <w:rFonts w:ascii="Times New Roman" w:eastAsia="標楷體" w:hAnsi="Times New Roman" w:hint="eastAsia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5DBCBC68" w14:textId="744742BD" w:rsidR="007F38A5" w:rsidRPr="00602195" w:rsidRDefault="007F38A5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富邦金控以「成為亞洲一流的金融機構」為發展願景，旗下主要子公司包括富邦人壽、台北富邦銀行、富邦銀行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(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香港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)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、富邦華一銀行、富邦產險、富邦證券及富邦投信等，擁有最完整多元的金融產品與服務，經營績效耀眼，位居市場領導地位。至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2020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6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月底，富邦金控總資產達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兆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8,561</w:t>
      </w:r>
      <w:r w:rsidRPr="007F38A5">
        <w:rPr>
          <w:rFonts w:ascii="Times New Roman" w:eastAsia="標楷體" w:hAnsi="Times New Roman" w:hint="eastAsia"/>
          <w:kern w:val="0"/>
          <w:sz w:val="28"/>
          <w:szCs w:val="26"/>
        </w:rPr>
        <w:t>億新台幣，為台灣第二大金融控股公司。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5791707" w14:textId="6CCBBE3E" w:rsidR="009A7EB1" w:rsidRDefault="009A7EB1" w:rsidP="009A7EB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kern w:val="0"/>
          <w:sz w:val="28"/>
          <w:szCs w:val="26"/>
        </w:rPr>
      </w:pP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富邦金控為響應國際再生能源趨勢、配合政府政策並履踐環保承諾，持續支持發展再生能源，除在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2014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年至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2017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年間向台電認購綠電，並自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2016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年起建置太陽能光電板。</w:t>
      </w:r>
    </w:p>
    <w:p w14:paraId="4347E519" w14:textId="3C6CBBA4" w:rsidR="000F7329" w:rsidRDefault="009A7EB1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5CAB4FEB" wp14:editId="4F9C5B70">
            <wp:extent cx="5274310" cy="148336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17300" w14:textId="5F4E306E" w:rsidR="009A7EB1" w:rsidRDefault="009A7EB1" w:rsidP="009A7EB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富邦金控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年太陽能總發電量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91,246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度，除達成目標外，並較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 xml:space="preserve">2018 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年發電量增加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44,290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度、增幅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94.32%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，共計減碳量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48,634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公斤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CO</w:t>
      </w:r>
      <w:r w:rsidRPr="00D70CB0">
        <w:rPr>
          <w:rFonts w:ascii="Times New Roman" w:eastAsia="標楷體" w:hAnsi="Times New Roman"/>
          <w:kern w:val="0"/>
          <w:sz w:val="28"/>
          <w:szCs w:val="26"/>
          <w:vertAlign w:val="subscript"/>
        </w:rPr>
        <w:t>2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e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。其中，銀行臺北中山大樓於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年自發自用產出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28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張再生能源憑證，共計減少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28,000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度外購電力，可抵減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14,924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公斤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CO</w:t>
      </w:r>
      <w:r w:rsidRPr="00D70CB0">
        <w:rPr>
          <w:rFonts w:ascii="Times New Roman" w:eastAsia="標楷體" w:hAnsi="Times New Roman"/>
          <w:kern w:val="0"/>
          <w:sz w:val="28"/>
          <w:szCs w:val="26"/>
          <w:vertAlign w:val="subscript"/>
        </w:rPr>
        <w:t>2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e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之排放。富邦金控未來除將持續評估於其他北、中、南地區之自有大樓設置太陽能光電板之可能性，具體落實經濟、節能、環保三方互助之友善企業外，亦將積極建置其他乾淨永續之綠能發電。富邦金控已於臺北敦南大樓裝設風力發電機，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年發電量為</w:t>
      </w:r>
      <w:r w:rsidRPr="009A7EB1">
        <w:rPr>
          <w:rFonts w:ascii="Times New Roman" w:eastAsia="標楷體" w:hAnsi="Times New Roman"/>
          <w:kern w:val="0"/>
          <w:sz w:val="28"/>
          <w:szCs w:val="26"/>
        </w:rPr>
        <w:t>570</w:t>
      </w:r>
      <w:r w:rsidRPr="009A7EB1">
        <w:rPr>
          <w:rFonts w:ascii="Times New Roman" w:eastAsia="標楷體" w:hAnsi="Times New Roman" w:hint="eastAsia"/>
          <w:kern w:val="0"/>
          <w:sz w:val="28"/>
          <w:szCs w:val="26"/>
        </w:rPr>
        <w:t>度。</w:t>
      </w:r>
    </w:p>
    <w:p w14:paraId="5281769C" w14:textId="4BD7EB4C" w:rsidR="009A7EB1" w:rsidRDefault="00AE5CCD" w:rsidP="009A7EB1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356AAC2F" wp14:editId="651E5FE9">
            <wp:extent cx="5274310" cy="166306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3599" w14:textId="248FBCAB" w:rsidR="009A7EB1" w:rsidRDefault="00AE5CCD" w:rsidP="00AE5CCD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r w:rsidRPr="00AE5CCD">
        <w:rPr>
          <w:rFonts w:ascii="Times New Roman" w:eastAsia="標楷體" w:hAnsi="Times New Roman" w:hint="eastAsia"/>
          <w:kern w:val="0"/>
          <w:sz w:val="28"/>
          <w:szCs w:val="26"/>
        </w:rPr>
        <w:t>富邦金控自</w:t>
      </w:r>
      <w:r w:rsidRPr="00AE5CCD">
        <w:rPr>
          <w:rFonts w:ascii="Times New Roman" w:eastAsia="標楷體" w:hAnsi="Times New Roman"/>
          <w:kern w:val="0"/>
          <w:sz w:val="28"/>
          <w:szCs w:val="26"/>
        </w:rPr>
        <w:t>2014</w:t>
      </w:r>
      <w:r w:rsidRPr="00AE5CCD">
        <w:rPr>
          <w:rFonts w:ascii="Times New Roman" w:eastAsia="標楷體" w:hAnsi="Times New Roman" w:hint="eastAsia"/>
          <w:kern w:val="0"/>
          <w:sz w:val="28"/>
          <w:szCs w:val="26"/>
        </w:rPr>
        <w:t>年起參與我國政府推動之綠電認購計畫，至</w:t>
      </w:r>
      <w:r w:rsidRPr="00AE5CCD">
        <w:rPr>
          <w:rFonts w:ascii="Times New Roman" w:eastAsia="標楷體" w:hAnsi="Times New Roman"/>
          <w:kern w:val="0"/>
          <w:sz w:val="28"/>
          <w:szCs w:val="26"/>
        </w:rPr>
        <w:t>2017</w:t>
      </w:r>
      <w:r w:rsidRPr="00AE5CCD">
        <w:rPr>
          <w:rFonts w:ascii="Times New Roman" w:eastAsia="標楷體" w:hAnsi="Times New Roman" w:hint="eastAsia"/>
          <w:kern w:val="0"/>
          <w:sz w:val="28"/>
          <w:szCs w:val="26"/>
        </w:rPr>
        <w:t>年累計認購綠電度數</w:t>
      </w:r>
      <w:r w:rsidRPr="00AE5CCD">
        <w:rPr>
          <w:rFonts w:ascii="Times New Roman" w:eastAsia="標楷體" w:hAnsi="Times New Roman"/>
          <w:kern w:val="0"/>
          <w:sz w:val="28"/>
          <w:szCs w:val="26"/>
        </w:rPr>
        <w:t>474.8</w:t>
      </w:r>
      <w:r w:rsidRPr="00AE5CCD">
        <w:rPr>
          <w:rFonts w:ascii="Times New Roman" w:eastAsia="標楷體" w:hAnsi="Times New Roman" w:hint="eastAsia"/>
          <w:kern w:val="0"/>
          <w:sz w:val="28"/>
          <w:szCs w:val="26"/>
        </w:rPr>
        <w:t>萬度，連續四年蟬聯金融服務業之首。</w:t>
      </w:r>
    </w:p>
    <w:p w14:paraId="1F0C8D1A" w14:textId="3F678553" w:rsidR="00AE5CCD" w:rsidRPr="003817EB" w:rsidRDefault="00AE5CCD" w:rsidP="00AE5CCD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 w:hint="eastAsia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017287BD" wp14:editId="2BBF5978">
            <wp:extent cx="5274310" cy="83566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CCD" w:rsidRPr="003817E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38E8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B0D"/>
    <w:rsid w:val="00641462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7F38A5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A7EB1"/>
    <w:rsid w:val="009B0984"/>
    <w:rsid w:val="009B141E"/>
    <w:rsid w:val="009C3C9F"/>
    <w:rsid w:val="009D0A0B"/>
    <w:rsid w:val="009D7E38"/>
    <w:rsid w:val="009E572E"/>
    <w:rsid w:val="009F0564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5CCD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CD7E5B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0CB0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2021-01-15T02:14:00Z</dcterms:created>
  <dcterms:modified xsi:type="dcterms:W3CDTF">2021-01-15T03:02:00Z</dcterms:modified>
</cp:coreProperties>
</file>