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825272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寶成工業</w:t>
      </w:r>
      <w:r w:rsidR="00EA6649">
        <w:rPr>
          <w:rFonts w:ascii="Times New Roman" w:eastAsia="標楷體" w:hAnsi="Times New Roman" w:hint="eastAsia"/>
          <w:sz w:val="32"/>
          <w:szCs w:val="28"/>
        </w:rPr>
        <w:t>的</w:t>
      </w:r>
      <w:r w:rsidR="00796BF3">
        <w:rPr>
          <w:rFonts w:ascii="Times New Roman" w:eastAsia="標楷體" w:hAnsi="Times New Roman" w:hint="eastAsia"/>
          <w:sz w:val="32"/>
          <w:szCs w:val="28"/>
        </w:rPr>
        <w:t>安全衛生管理</w:t>
      </w:r>
    </w:p>
    <w:p w:rsidR="008D1DBF" w:rsidRPr="00043358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43358">
        <w:rPr>
          <w:rFonts w:ascii="Times New Roman" w:eastAsia="標楷體" w:hAnsi="Times New Roman" w:hint="eastAsia"/>
          <w:sz w:val="28"/>
          <w:szCs w:val="28"/>
        </w:rPr>
        <w:t>第</w:t>
      </w:r>
      <w:r w:rsidR="00A708C5">
        <w:rPr>
          <w:rFonts w:ascii="Times New Roman" w:eastAsia="標楷體" w:hAnsi="Times New Roman" w:hint="eastAsia"/>
          <w:sz w:val="28"/>
          <w:szCs w:val="28"/>
        </w:rPr>
        <w:t>二</w:t>
      </w:r>
      <w:r w:rsidR="00647515" w:rsidRPr="00043358">
        <w:rPr>
          <w:rFonts w:ascii="Times New Roman" w:eastAsia="標楷體" w:hAnsi="Times New Roman" w:hint="eastAsia"/>
          <w:sz w:val="28"/>
          <w:szCs w:val="28"/>
        </w:rPr>
        <w:t>十</w:t>
      </w:r>
      <w:r w:rsidRPr="00043358">
        <w:rPr>
          <w:rFonts w:ascii="Times New Roman" w:eastAsia="標楷體" w:hAnsi="Times New Roman" w:hint="eastAsia"/>
          <w:sz w:val="28"/>
          <w:szCs w:val="28"/>
        </w:rPr>
        <w:t>條</w:t>
      </w:r>
      <w:r w:rsidRPr="00043358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43358">
        <w:rPr>
          <w:rFonts w:ascii="Times New Roman" w:eastAsia="標楷體" w:hAnsi="Times New Roman"/>
          <w:sz w:val="28"/>
          <w:szCs w:val="28"/>
        </w:rPr>
        <w:t>等級：</w:t>
      </w:r>
      <w:r w:rsidR="00825272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43358">
        <w:rPr>
          <w:rFonts w:ascii="Times New Roman" w:eastAsia="標楷體" w:hint="eastAsia"/>
        </w:rPr>
        <w:t>資料來源：</w:t>
      </w:r>
      <w:r w:rsidR="00825272">
        <w:rPr>
          <w:rFonts w:ascii="Times New Roman" w:eastAsia="標楷體" w:hint="eastAsia"/>
        </w:rPr>
        <w:t>寶成工業股份有限公司</w:t>
      </w:r>
      <w:r w:rsidR="006D7CDB" w:rsidRPr="00043358">
        <w:rPr>
          <w:rFonts w:ascii="Times New Roman" w:eastAsia="標楷體" w:hAnsi="Times New Roman"/>
        </w:rPr>
        <w:t>20</w:t>
      </w:r>
      <w:r w:rsidR="00726820" w:rsidRPr="00043358">
        <w:rPr>
          <w:rFonts w:ascii="Times New Roman" w:eastAsia="標楷體" w:hAnsi="Times New Roman" w:hint="eastAsia"/>
        </w:rPr>
        <w:t>1</w:t>
      </w:r>
      <w:r w:rsidR="00DD2B79" w:rsidRPr="00043358">
        <w:rPr>
          <w:rFonts w:ascii="Times New Roman" w:eastAsia="標楷體" w:hAnsi="Times New Roman" w:hint="eastAsia"/>
        </w:rPr>
        <w:t>5</w:t>
      </w:r>
      <w:r w:rsidR="00DA0BD0" w:rsidRPr="00043358">
        <w:rPr>
          <w:rFonts w:ascii="Times New Roman" w:eastAsia="標楷體" w:hint="eastAsia"/>
        </w:rPr>
        <w:t>年</w:t>
      </w:r>
      <w:r w:rsidR="00825272">
        <w:rPr>
          <w:rFonts w:ascii="Times New Roman" w:eastAsia="標楷體" w:hint="eastAsia"/>
        </w:rPr>
        <w:t>度</w:t>
      </w:r>
      <w:r w:rsidRPr="00043358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86C16" w:rsidRDefault="00825272" w:rsidP="00D94472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  <w:r w:rsidRPr="00825272">
        <w:rPr>
          <w:rFonts w:ascii="Times New Roman" w:eastAsia="標楷體" w:hAnsi="Times New Roman" w:hint="eastAsia"/>
          <w:i/>
          <w:sz w:val="28"/>
        </w:rPr>
        <w:t>寶成工業</w:t>
      </w:r>
      <w:r w:rsidR="006F295A" w:rsidRPr="006F295A">
        <w:rPr>
          <w:rFonts w:ascii="Times New Roman" w:eastAsia="標楷體" w:hAnsi="Times New Roman" w:hint="eastAsia"/>
          <w:i/>
          <w:sz w:val="28"/>
        </w:rPr>
        <w:t>為承諾提供雇員安全健康工作環境，從組織建立、橫向跨單位合作及縱向由上至下貫徹執行，</w:t>
      </w:r>
      <w:r w:rsidR="006F295A" w:rsidRPr="006F295A">
        <w:rPr>
          <w:rFonts w:ascii="Times New Roman" w:eastAsia="標楷體" w:hAnsi="Times New Roman"/>
          <w:i/>
          <w:sz w:val="28"/>
        </w:rPr>
        <w:t xml:space="preserve"> </w:t>
      </w:r>
      <w:r w:rsidR="006F295A" w:rsidRPr="006F295A">
        <w:rPr>
          <w:rFonts w:ascii="Times New Roman" w:eastAsia="標楷體" w:hAnsi="Times New Roman" w:hint="eastAsia"/>
          <w:i/>
          <w:sz w:val="28"/>
        </w:rPr>
        <w:t>逐步建立標準化</w:t>
      </w:r>
      <w:bookmarkStart w:id="0" w:name="_GoBack"/>
      <w:bookmarkEnd w:id="0"/>
      <w:r w:rsidR="006F295A" w:rsidRPr="006F295A">
        <w:rPr>
          <w:rFonts w:ascii="Times New Roman" w:eastAsia="標楷體" w:hAnsi="Times New Roman" w:hint="eastAsia"/>
          <w:i/>
          <w:sz w:val="28"/>
        </w:rPr>
        <w:t>管理制度</w:t>
      </w:r>
    </w:p>
    <w:p w:rsidR="00FE54FA" w:rsidRPr="00043358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A933FB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A933FB">
        <w:rPr>
          <w:rFonts w:ascii="Times New Roman" w:eastAsia="標楷體" w:hAnsi="Times New Roman"/>
          <w:b/>
          <w:color w:val="000000" w:themeColor="text1"/>
          <w:sz w:val="28"/>
        </w:rPr>
        <w:t>企業概述</w:t>
      </w:r>
    </w:p>
    <w:p w:rsidR="00C27C75" w:rsidRPr="007F7E79" w:rsidRDefault="00825272" w:rsidP="00C9129A">
      <w:pPr>
        <w:snapToGrid w:val="0"/>
        <w:spacing w:before="120" w:line="360" w:lineRule="auto"/>
        <w:jc w:val="both"/>
        <w:rPr>
          <w:rFonts w:ascii="Times New Roman" w:eastAsia="標楷體" w:hAnsi="Times New Roman"/>
          <w:sz w:val="28"/>
        </w:rPr>
      </w:pPr>
      <w:r w:rsidRPr="00825272">
        <w:rPr>
          <w:rFonts w:ascii="Times New Roman" w:eastAsia="標楷體" w:hAnsi="Times New Roman" w:hint="eastAsia"/>
          <w:sz w:val="28"/>
        </w:rPr>
        <w:t>寶成工業股份有限公司成立於</w:t>
      </w:r>
      <w:r w:rsidRPr="00825272">
        <w:rPr>
          <w:rFonts w:ascii="Times New Roman" w:eastAsia="標楷體" w:hAnsi="Times New Roman" w:hint="eastAsia"/>
          <w:sz w:val="28"/>
        </w:rPr>
        <w:t>1969</w:t>
      </w:r>
      <w:r w:rsidRPr="00825272">
        <w:rPr>
          <w:rFonts w:ascii="Times New Roman" w:eastAsia="標楷體" w:hAnsi="Times New Roman" w:hint="eastAsia"/>
          <w:sz w:val="28"/>
        </w:rPr>
        <w:t>年</w:t>
      </w:r>
      <w:r w:rsidRPr="00825272">
        <w:rPr>
          <w:rFonts w:ascii="Times New Roman" w:eastAsia="標楷體" w:hAnsi="Times New Roman" w:hint="eastAsia"/>
          <w:sz w:val="28"/>
        </w:rPr>
        <w:t>9</w:t>
      </w:r>
      <w:r w:rsidRPr="00825272">
        <w:rPr>
          <w:rFonts w:ascii="Times New Roman" w:eastAsia="標楷體" w:hAnsi="Times New Roman" w:hint="eastAsia"/>
          <w:sz w:val="28"/>
        </w:rPr>
        <w:t>月，專注經營「製鞋」及「通路」二大核心業務。製鞋業務方面，以運動鞋及休閒鞋之研發製造為主，並由經營初期的純代工製造</w:t>
      </w:r>
      <w:r w:rsidRPr="00825272">
        <w:rPr>
          <w:rFonts w:ascii="Times New Roman" w:eastAsia="標楷體" w:hAnsi="Times New Roman" w:hint="eastAsia"/>
          <w:sz w:val="28"/>
        </w:rPr>
        <w:t>(OEM)</w:t>
      </w:r>
      <w:r w:rsidRPr="00825272">
        <w:rPr>
          <w:rFonts w:ascii="Times New Roman" w:eastAsia="標楷體" w:hAnsi="Times New Roman" w:hint="eastAsia"/>
          <w:sz w:val="28"/>
        </w:rPr>
        <w:t>轉型為代工設計製造</w:t>
      </w:r>
      <w:r w:rsidRPr="00825272">
        <w:rPr>
          <w:rFonts w:ascii="Times New Roman" w:eastAsia="標楷體" w:hAnsi="Times New Roman" w:hint="eastAsia"/>
          <w:sz w:val="28"/>
        </w:rPr>
        <w:t>(ODM)</w:t>
      </w:r>
      <w:r w:rsidRPr="00825272">
        <w:rPr>
          <w:rFonts w:ascii="Times New Roman" w:eastAsia="標楷體" w:hAnsi="Times New Roman" w:hint="eastAsia"/>
          <w:sz w:val="28"/>
        </w:rPr>
        <w:t>，與國際知名品牌皆有密切合作關係。因應國際商務機會與挑戰，逐步將營運據點遍及臺灣、中國、印尼及越南等地，以分散單一生產基地的營運風險及善用海外地區的生產優勢，現時，寶成工業已成為全球最具規模的運動鞋及休閒鞋製造商，鞋類年產量超過</w:t>
      </w:r>
      <w:r w:rsidRPr="00825272">
        <w:rPr>
          <w:rFonts w:ascii="Times New Roman" w:eastAsia="標楷體" w:hAnsi="Times New Roman" w:hint="eastAsia"/>
          <w:sz w:val="28"/>
        </w:rPr>
        <w:t>3</w:t>
      </w:r>
      <w:r w:rsidRPr="00825272">
        <w:rPr>
          <w:rFonts w:ascii="Times New Roman" w:eastAsia="標楷體" w:hAnsi="Times New Roman" w:hint="eastAsia"/>
          <w:sz w:val="28"/>
        </w:rPr>
        <w:t>億雙，約佔全球運動鞋及休閒鞋市場以批發價格計算之</w:t>
      </w:r>
      <w:r w:rsidRPr="00825272">
        <w:rPr>
          <w:rFonts w:ascii="Times New Roman" w:eastAsia="標楷體" w:hAnsi="Times New Roman" w:hint="eastAsia"/>
          <w:sz w:val="28"/>
        </w:rPr>
        <w:t>20</w:t>
      </w:r>
      <w:r w:rsidRPr="00825272">
        <w:rPr>
          <w:rFonts w:ascii="Times New Roman" w:eastAsia="標楷體" w:hAnsi="Times New Roman" w:hint="eastAsia"/>
          <w:sz w:val="28"/>
        </w:rPr>
        <w:t>％。通路業務方面，自</w:t>
      </w:r>
      <w:r w:rsidRPr="00825272">
        <w:rPr>
          <w:rFonts w:ascii="Times New Roman" w:eastAsia="標楷體" w:hAnsi="Times New Roman" w:hint="eastAsia"/>
          <w:sz w:val="28"/>
        </w:rPr>
        <w:t>1992</w:t>
      </w:r>
      <w:r w:rsidRPr="00825272">
        <w:rPr>
          <w:rFonts w:ascii="Times New Roman" w:eastAsia="標楷體" w:hAnsi="Times New Roman" w:hint="eastAsia"/>
          <w:sz w:val="28"/>
        </w:rPr>
        <w:t>年起由品牌代理業務開端，逐步發展運動用品零售業務，在大中華區已建立起一定規模的銷售網絡，是中國領先的運動用品零售商及代理商之一。</w:t>
      </w: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0C71F9" w:rsidRPr="000C71F9" w:rsidRDefault="000C71F9" w:rsidP="00125255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2"/>
        </w:rPr>
      </w:pPr>
      <w:r w:rsidRPr="000C71F9">
        <w:rPr>
          <w:rFonts w:ascii="Times New Roman" w:eastAsia="標楷體" w:hAnsi="Times New Roman" w:cs="Times New Roman"/>
          <w:color w:val="auto"/>
          <w:kern w:val="2"/>
          <w:sz w:val="28"/>
          <w:szCs w:val="22"/>
        </w:rPr>
        <w:t>職業安全衛生管理政策</w:t>
      </w:r>
    </w:p>
    <w:p w:rsidR="000C71F9" w:rsidRPr="000C71F9" w:rsidRDefault="00125255" w:rsidP="00125255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2"/>
        </w:rPr>
      </w:pPr>
      <w:r>
        <w:rPr>
          <w:rFonts w:ascii="Times New Roman" w:eastAsia="標楷體" w:hAnsi="Times New Roman" w:cs="Times New Roman" w:hint="eastAsia"/>
          <w:color w:val="auto"/>
          <w:kern w:val="2"/>
          <w:sz w:val="28"/>
          <w:szCs w:val="22"/>
        </w:rPr>
        <w:t>寶成工業</w:t>
      </w:r>
      <w:r w:rsidR="000C71F9" w:rsidRPr="000C71F9">
        <w:rPr>
          <w:rFonts w:ascii="Times New Roman" w:eastAsia="標楷體" w:hAnsi="Times New Roman" w:cs="Times New Roman" w:hint="eastAsia"/>
          <w:color w:val="auto"/>
          <w:kern w:val="2"/>
          <w:sz w:val="28"/>
          <w:szCs w:val="22"/>
        </w:rPr>
        <w:t>對於職業安全衛生管理政策為「提供安全健康工作環境，以保障僱員避免職業性危害」。為承諾提供雇員安全健康工作環境，從</w:t>
      </w:r>
      <w:r w:rsidR="000C71F9" w:rsidRPr="000C71F9">
        <w:rPr>
          <w:rFonts w:ascii="Times New Roman" w:eastAsia="標楷體" w:hAnsi="Times New Roman" w:cs="Times New Roman" w:hint="eastAsia"/>
          <w:color w:val="auto"/>
          <w:kern w:val="2"/>
          <w:sz w:val="28"/>
          <w:szCs w:val="22"/>
        </w:rPr>
        <w:lastRenderedPageBreak/>
        <w:t>組織建立、橫向跨單位合作及縱向由上至下貫徹執行，</w:t>
      </w:r>
      <w:r w:rsidR="000C71F9" w:rsidRPr="000C71F9">
        <w:rPr>
          <w:rFonts w:ascii="Times New Roman" w:eastAsia="標楷體" w:hAnsi="Times New Roman" w:cs="Times New Roman"/>
          <w:color w:val="auto"/>
          <w:kern w:val="2"/>
          <w:sz w:val="28"/>
          <w:szCs w:val="22"/>
        </w:rPr>
        <w:t xml:space="preserve"> </w:t>
      </w:r>
      <w:r w:rsidR="000C71F9" w:rsidRPr="000C71F9">
        <w:rPr>
          <w:rFonts w:ascii="Times New Roman" w:eastAsia="標楷體" w:hAnsi="Times New Roman" w:cs="Times New Roman" w:hint="eastAsia"/>
          <w:color w:val="auto"/>
          <w:kern w:val="2"/>
          <w:sz w:val="28"/>
          <w:szCs w:val="22"/>
        </w:rPr>
        <w:t>逐步建立標準化管理制度。</w:t>
      </w:r>
      <w:r w:rsidR="000C71F9" w:rsidRPr="000C71F9">
        <w:rPr>
          <w:rFonts w:ascii="Times New Roman" w:eastAsia="標楷體" w:hAnsi="Times New Roman" w:cs="Times New Roman"/>
          <w:color w:val="auto"/>
          <w:kern w:val="2"/>
          <w:sz w:val="28"/>
          <w:szCs w:val="22"/>
        </w:rPr>
        <w:t xml:space="preserve"> </w:t>
      </w:r>
    </w:p>
    <w:p w:rsidR="000C71F9" w:rsidRPr="000C71F9" w:rsidRDefault="000C71F9" w:rsidP="00125255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2"/>
        </w:rPr>
      </w:pPr>
      <w:r w:rsidRPr="000C71F9">
        <w:rPr>
          <w:rFonts w:ascii="Times New Roman" w:eastAsia="標楷體" w:hAnsi="Times New Roman" w:cs="Times New Roman" w:hint="eastAsia"/>
          <w:color w:val="auto"/>
          <w:kern w:val="2"/>
          <w:sz w:val="28"/>
          <w:szCs w:val="22"/>
        </w:rPr>
        <w:t>安全衛生管理制度</w:t>
      </w:r>
    </w:p>
    <w:p w:rsidR="000C71F9" w:rsidRPr="000C71F9" w:rsidRDefault="000C71F9" w:rsidP="00125255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0C71F9">
        <w:rPr>
          <w:rFonts w:ascii="Times New Roman" w:eastAsia="標楷體" w:hAnsi="Times New Roman" w:hint="eastAsia"/>
          <w:sz w:val="28"/>
        </w:rPr>
        <w:t>就職業安全衛生管理方面，除符合工廠所在地相關法規及客戶要求外，亦以國際標準</w:t>
      </w:r>
      <w:r w:rsidRPr="000C71F9">
        <w:rPr>
          <w:rFonts w:ascii="Times New Roman" w:eastAsia="標楷體" w:hAnsi="Times New Roman"/>
          <w:sz w:val="28"/>
        </w:rPr>
        <w:t>OHSAS 18001</w:t>
      </w:r>
      <w:r w:rsidRPr="000C71F9">
        <w:rPr>
          <w:rFonts w:ascii="Times New Roman" w:eastAsia="標楷體" w:hAnsi="Times New Roman" w:hint="eastAsia"/>
          <w:sz w:val="28"/>
        </w:rPr>
        <w:t>與公平勞工協會所倡議的工廠行為準則規範</w:t>
      </w:r>
      <w:r w:rsidRPr="000C71F9">
        <w:rPr>
          <w:rFonts w:ascii="Times New Roman" w:eastAsia="標楷體" w:hAnsi="Times New Roman"/>
          <w:sz w:val="28"/>
        </w:rPr>
        <w:t xml:space="preserve">(FLA Workplace Code of Conduct) </w:t>
      </w:r>
      <w:r w:rsidRPr="000C71F9">
        <w:rPr>
          <w:rFonts w:ascii="Times New Roman" w:eastAsia="標楷體" w:hAnsi="Times New Roman" w:hint="eastAsia"/>
          <w:sz w:val="28"/>
        </w:rPr>
        <w:t>為基礎，制定了一系列管理辦法供所有單位遵循，以落實管理、避免危害。本著以法令為基礎配合內部標準規範逐步推動安全衛生管理制度，</w:t>
      </w:r>
      <w:r w:rsidR="00125255">
        <w:rPr>
          <w:rFonts w:ascii="Times New Roman" w:eastAsia="標楷體" w:hAnsi="Times New Roman" w:hint="eastAsia"/>
          <w:sz w:val="28"/>
        </w:rPr>
        <w:t>寶成工業</w:t>
      </w:r>
      <w:r w:rsidRPr="000C71F9">
        <w:rPr>
          <w:rFonts w:ascii="Times New Roman" w:eastAsia="標楷體" w:hAnsi="Times New Roman" w:hint="eastAsia"/>
          <w:sz w:val="28"/>
        </w:rPr>
        <w:t>的每一工廠及行政中心皆成立「環保暨能源安全衛生委員會｣並定期召開會議，以固定組織的方式由各單位檢討安全衛生相關管理事項；並規範工廠定期執行安全衛生管理內部檢核制度，並建立</w:t>
      </w:r>
      <w:r w:rsidRPr="000C71F9">
        <w:rPr>
          <w:rFonts w:ascii="Times New Roman" w:eastAsia="標楷體" w:hAnsi="Times New Roman"/>
          <w:sz w:val="28"/>
        </w:rPr>
        <w:t>e</w:t>
      </w:r>
      <w:r w:rsidRPr="000C71F9">
        <w:rPr>
          <w:rFonts w:ascii="Times New Roman" w:eastAsia="標楷體" w:hAnsi="Times New Roman" w:hint="eastAsia"/>
          <w:sz w:val="28"/>
        </w:rPr>
        <w:t>化異常事故管理系統，以數據分析協助聚焦重大風險之預防機制。</w:t>
      </w:r>
    </w:p>
    <w:p w:rsidR="000C71F9" w:rsidRPr="000C71F9" w:rsidRDefault="000C71F9" w:rsidP="00125255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2"/>
        </w:rPr>
      </w:pPr>
      <w:r w:rsidRPr="000C71F9">
        <w:rPr>
          <w:rFonts w:ascii="Times New Roman" w:eastAsia="標楷體" w:hAnsi="Times New Roman" w:cs="Times New Roman"/>
          <w:color w:val="auto"/>
          <w:kern w:val="2"/>
          <w:sz w:val="28"/>
          <w:szCs w:val="22"/>
        </w:rPr>
        <w:t>標準化管理措施</w:t>
      </w:r>
      <w:r w:rsidRPr="000C71F9">
        <w:rPr>
          <w:rFonts w:ascii="Times New Roman" w:eastAsia="標楷體" w:hAnsi="Times New Roman" w:cs="Times New Roman"/>
          <w:color w:val="auto"/>
          <w:kern w:val="2"/>
          <w:sz w:val="28"/>
          <w:szCs w:val="22"/>
        </w:rPr>
        <w:t xml:space="preserve"> </w:t>
      </w:r>
    </w:p>
    <w:p w:rsidR="000C71F9" w:rsidRPr="000C71F9" w:rsidRDefault="00125255" w:rsidP="00125255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2"/>
        </w:rPr>
      </w:pPr>
      <w:r>
        <w:rPr>
          <w:rFonts w:ascii="Times New Roman" w:eastAsia="標楷體" w:hAnsi="Times New Roman" w:cs="Times New Roman" w:hint="eastAsia"/>
          <w:color w:val="auto"/>
          <w:kern w:val="2"/>
          <w:sz w:val="28"/>
          <w:szCs w:val="22"/>
        </w:rPr>
        <w:t>寶成工業</w:t>
      </w:r>
      <w:r w:rsidR="000C71F9" w:rsidRPr="000C71F9">
        <w:rPr>
          <w:rFonts w:ascii="Times New Roman" w:eastAsia="標楷體" w:hAnsi="Times New Roman" w:cs="Times New Roman" w:hint="eastAsia"/>
          <w:color w:val="auto"/>
          <w:kern w:val="2"/>
          <w:sz w:val="28"/>
          <w:szCs w:val="22"/>
        </w:rPr>
        <w:t>分階段強化各項安全衛生管理項目，繼消防安全、化學品安全、特殊危害作業管制、職災調查管理後，</w:t>
      </w:r>
      <w:r w:rsidR="000C71F9" w:rsidRPr="000C71F9">
        <w:rPr>
          <w:rFonts w:ascii="Times New Roman" w:eastAsia="標楷體" w:hAnsi="Times New Roman" w:cs="Times New Roman"/>
          <w:color w:val="auto"/>
          <w:kern w:val="2"/>
          <w:sz w:val="28"/>
          <w:szCs w:val="22"/>
        </w:rPr>
        <w:t>2015</w:t>
      </w:r>
      <w:r w:rsidR="000C71F9" w:rsidRPr="000C71F9">
        <w:rPr>
          <w:rFonts w:ascii="Times New Roman" w:eastAsia="標楷體" w:hAnsi="Times New Roman" w:cs="Times New Roman" w:hint="eastAsia"/>
          <w:color w:val="auto"/>
          <w:kern w:val="2"/>
          <w:sz w:val="28"/>
          <w:szCs w:val="22"/>
        </w:rPr>
        <w:t>年度特別強化下列工作：</w:t>
      </w:r>
    </w:p>
    <w:p w:rsidR="000C71F9" w:rsidRPr="000C71F9" w:rsidRDefault="000C71F9" w:rsidP="00125255">
      <w:pPr>
        <w:pStyle w:val="Default"/>
        <w:numPr>
          <w:ilvl w:val="0"/>
          <w:numId w:val="2"/>
        </w:num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2"/>
        </w:rPr>
      </w:pPr>
      <w:r w:rsidRPr="000C71F9">
        <w:rPr>
          <w:rFonts w:ascii="Times New Roman" w:eastAsia="標楷體" w:hAnsi="Times New Roman" w:cs="Times New Roman"/>
          <w:color w:val="auto"/>
          <w:kern w:val="2"/>
          <w:sz w:val="28"/>
          <w:szCs w:val="22"/>
        </w:rPr>
        <w:t>機台安全管理</w:t>
      </w:r>
    </w:p>
    <w:p w:rsidR="000C71F9" w:rsidRPr="000C71F9" w:rsidRDefault="000C71F9" w:rsidP="00125255">
      <w:pPr>
        <w:pStyle w:val="Default"/>
        <w:snapToGrid w:val="0"/>
        <w:spacing w:beforeLines="50" w:before="180" w:line="360" w:lineRule="auto"/>
        <w:ind w:left="480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2"/>
        </w:rPr>
      </w:pPr>
      <w:r w:rsidRPr="000C71F9">
        <w:rPr>
          <w:rFonts w:ascii="Times New Roman" w:eastAsia="標楷體" w:hAnsi="Times New Roman" w:cs="Times New Roman" w:hint="eastAsia"/>
          <w:color w:val="auto"/>
          <w:kern w:val="2"/>
          <w:sz w:val="28"/>
          <w:szCs w:val="22"/>
        </w:rPr>
        <w:t>藉由定義高危險機台、明訂安全裝置與安全操作、採購源頭審核、現場安全驗收、機台安全生產、定期安全查核等管理手段進行全面性機台安全管理。</w:t>
      </w:r>
      <w:r w:rsidRPr="000C71F9">
        <w:rPr>
          <w:rFonts w:ascii="Times New Roman" w:eastAsia="標楷體" w:hAnsi="Times New Roman" w:cs="Times New Roman"/>
          <w:color w:val="auto"/>
          <w:kern w:val="2"/>
          <w:sz w:val="28"/>
          <w:szCs w:val="22"/>
        </w:rPr>
        <w:t xml:space="preserve"> </w:t>
      </w:r>
    </w:p>
    <w:p w:rsidR="000C71F9" w:rsidRPr="000C71F9" w:rsidRDefault="000C71F9" w:rsidP="00125255">
      <w:pPr>
        <w:pStyle w:val="Default"/>
        <w:numPr>
          <w:ilvl w:val="0"/>
          <w:numId w:val="2"/>
        </w:num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2"/>
        </w:rPr>
      </w:pPr>
      <w:r w:rsidRPr="000C71F9">
        <w:rPr>
          <w:rFonts w:ascii="Times New Roman" w:eastAsia="標楷體" w:hAnsi="Times New Roman" w:cs="Times New Roman" w:hint="eastAsia"/>
          <w:color w:val="auto"/>
          <w:kern w:val="2"/>
          <w:sz w:val="28"/>
          <w:szCs w:val="22"/>
        </w:rPr>
        <w:t>承攬商施工管理</w:t>
      </w:r>
    </w:p>
    <w:p w:rsidR="000C71F9" w:rsidRPr="000C71F9" w:rsidRDefault="000C71F9" w:rsidP="00125255">
      <w:pPr>
        <w:pStyle w:val="Default"/>
        <w:snapToGrid w:val="0"/>
        <w:spacing w:beforeLines="50" w:before="180" w:line="360" w:lineRule="auto"/>
        <w:ind w:left="480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2"/>
        </w:rPr>
      </w:pPr>
      <w:r w:rsidRPr="000C71F9">
        <w:rPr>
          <w:rFonts w:ascii="Times New Roman" w:eastAsia="標楷體" w:hAnsi="Times New Roman" w:cs="Times New Roman" w:hint="eastAsia"/>
          <w:color w:val="auto"/>
          <w:kern w:val="2"/>
          <w:sz w:val="28"/>
          <w:szCs w:val="22"/>
        </w:rPr>
        <w:t>制定公司統一規範，自工程承攬商進場管制、危害告知、特殊危害作業管制、現場監工乃至違規處分等各項要求，已逐步於各地</w:t>
      </w:r>
      <w:r w:rsidRPr="000C71F9">
        <w:rPr>
          <w:rFonts w:ascii="Times New Roman" w:eastAsia="標楷體" w:hAnsi="Times New Roman" w:cs="Times New Roman" w:hint="eastAsia"/>
          <w:color w:val="auto"/>
          <w:kern w:val="2"/>
          <w:sz w:val="28"/>
          <w:szCs w:val="22"/>
        </w:rPr>
        <w:lastRenderedPageBreak/>
        <w:t>區開展。</w:t>
      </w:r>
      <w:r w:rsidRPr="000C71F9">
        <w:rPr>
          <w:rFonts w:ascii="Times New Roman" w:eastAsia="標楷體" w:hAnsi="Times New Roman" w:cs="Times New Roman"/>
          <w:color w:val="auto"/>
          <w:kern w:val="2"/>
          <w:sz w:val="28"/>
          <w:szCs w:val="22"/>
        </w:rPr>
        <w:t xml:space="preserve"> </w:t>
      </w:r>
    </w:p>
    <w:p w:rsidR="000C71F9" w:rsidRPr="000C71F9" w:rsidRDefault="000C71F9" w:rsidP="00125255">
      <w:pPr>
        <w:pStyle w:val="Default"/>
        <w:numPr>
          <w:ilvl w:val="0"/>
          <w:numId w:val="2"/>
        </w:num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2"/>
        </w:rPr>
      </w:pPr>
      <w:r w:rsidRPr="000C71F9">
        <w:rPr>
          <w:rFonts w:ascii="Times New Roman" w:eastAsia="標楷體" w:hAnsi="Times New Roman" w:cs="Times New Roman" w:hint="eastAsia"/>
          <w:color w:val="auto"/>
          <w:kern w:val="2"/>
          <w:sz w:val="28"/>
          <w:szCs w:val="22"/>
        </w:rPr>
        <w:t>異常事故管理</w:t>
      </w:r>
    </w:p>
    <w:p w:rsidR="000C71F9" w:rsidRPr="000C71F9" w:rsidRDefault="000C71F9" w:rsidP="00125255">
      <w:pPr>
        <w:pStyle w:val="Default"/>
        <w:snapToGrid w:val="0"/>
        <w:spacing w:beforeLines="50" w:before="180" w:line="360" w:lineRule="auto"/>
        <w:ind w:left="480"/>
        <w:jc w:val="both"/>
        <w:rPr>
          <w:rFonts w:ascii="Times New Roman" w:eastAsia="標楷體" w:hAnsi="Times New Roman"/>
          <w:sz w:val="28"/>
          <w:szCs w:val="22"/>
        </w:rPr>
      </w:pPr>
      <w:r w:rsidRPr="000C71F9">
        <w:rPr>
          <w:rFonts w:ascii="Times New Roman" w:eastAsia="標楷體" w:hAnsi="Times New Roman"/>
          <w:sz w:val="28"/>
          <w:szCs w:val="22"/>
        </w:rPr>
        <w:t>將職業災害調查管理流程標準化</w:t>
      </w:r>
      <w:r w:rsidRPr="000C71F9">
        <w:rPr>
          <w:rFonts w:ascii="Times New Roman" w:eastAsia="標楷體" w:hAnsi="Times New Roman" w:hint="eastAsia"/>
          <w:sz w:val="28"/>
          <w:szCs w:val="22"/>
        </w:rPr>
        <w:t>，確保事故通報與追蹤確認能落實執行，並將持續強化工廠事故調查與改善確認能力，以避免再發風險及矯正措施平行推展。</w:t>
      </w:r>
    </w:p>
    <w:p w:rsidR="000C71F9" w:rsidRPr="000C014F" w:rsidRDefault="00125255" w:rsidP="00125255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  <w:szCs w:val="22"/>
        </w:rPr>
        <w:t>寶成工業</w:t>
      </w:r>
      <w:r w:rsidR="000C71F9" w:rsidRPr="000C71F9">
        <w:rPr>
          <w:rFonts w:ascii="Times New Roman" w:eastAsia="標楷體" w:hAnsi="Times New Roman" w:hint="eastAsia"/>
          <w:sz w:val="28"/>
          <w:szCs w:val="22"/>
        </w:rPr>
        <w:t>建立內部資訊化職災管理系統以進行安衛管理績效指標的追蹤管理</w:t>
      </w:r>
      <w:r w:rsidR="000C71F9" w:rsidRPr="000C71F9">
        <w:rPr>
          <w:rFonts w:ascii="Times New Roman" w:eastAsia="標楷體" w:hAnsi="Times New Roman" w:cs="Times New Roman" w:hint="eastAsia"/>
          <w:sz w:val="28"/>
          <w:szCs w:val="22"/>
        </w:rPr>
        <w:t>，</w:t>
      </w:r>
      <w:r w:rsidR="000C71F9" w:rsidRPr="000C71F9">
        <w:rPr>
          <w:rFonts w:ascii="Times New Roman" w:eastAsia="標楷體" w:hAnsi="Times New Roman" w:hint="eastAsia"/>
          <w:sz w:val="28"/>
          <w:szCs w:val="22"/>
        </w:rPr>
        <w:t>包含職災件數</w:t>
      </w:r>
      <w:r w:rsidR="000C71F9" w:rsidRPr="000C71F9">
        <w:rPr>
          <w:rFonts w:ascii="Times New Roman" w:eastAsia="標楷體" w:hAnsi="Times New Roman" w:cs="Times New Roman" w:hint="eastAsia"/>
          <w:sz w:val="28"/>
          <w:szCs w:val="22"/>
        </w:rPr>
        <w:t>、</w:t>
      </w:r>
      <w:r w:rsidR="000C71F9" w:rsidRPr="000C71F9">
        <w:rPr>
          <w:rFonts w:ascii="Times New Roman" w:eastAsia="標楷體" w:hAnsi="Times New Roman" w:hint="eastAsia"/>
          <w:sz w:val="28"/>
          <w:szCs w:val="22"/>
        </w:rPr>
        <w:t>總損失日數</w:t>
      </w:r>
      <w:r w:rsidR="000C71F9" w:rsidRPr="000C71F9">
        <w:rPr>
          <w:rFonts w:ascii="Times New Roman" w:eastAsia="標楷體" w:hAnsi="Times New Roman" w:cs="Times New Roman" w:hint="eastAsia"/>
          <w:sz w:val="28"/>
          <w:szCs w:val="22"/>
        </w:rPr>
        <w:t>、</w:t>
      </w:r>
      <w:r w:rsidR="000C71F9" w:rsidRPr="000C71F9">
        <w:rPr>
          <w:rFonts w:ascii="Times New Roman" w:eastAsia="標楷體" w:hAnsi="Times New Roman" w:hint="eastAsia"/>
          <w:sz w:val="28"/>
          <w:szCs w:val="22"/>
        </w:rPr>
        <w:t>失能傷害頻率</w:t>
      </w:r>
      <w:r w:rsidR="000C71F9" w:rsidRPr="000C71F9">
        <w:rPr>
          <w:rFonts w:ascii="Times New Roman" w:eastAsia="標楷體" w:hAnsi="Times New Roman"/>
          <w:sz w:val="28"/>
          <w:szCs w:val="22"/>
        </w:rPr>
        <w:t>( Disabling Frequency Rate</w:t>
      </w:r>
      <w:r w:rsidR="000C71F9" w:rsidRPr="000C71F9">
        <w:rPr>
          <w:rFonts w:ascii="Times New Roman" w:eastAsia="標楷體" w:hAnsi="Times New Roman" w:hint="eastAsia"/>
          <w:sz w:val="28"/>
          <w:szCs w:val="22"/>
        </w:rPr>
        <w:t>，</w:t>
      </w:r>
      <w:r w:rsidR="000C71F9" w:rsidRPr="000C71F9">
        <w:rPr>
          <w:rFonts w:ascii="Times New Roman" w:eastAsia="標楷體" w:hAnsi="Times New Roman"/>
          <w:sz w:val="28"/>
          <w:szCs w:val="22"/>
        </w:rPr>
        <w:t xml:space="preserve">FR ) </w:t>
      </w:r>
      <w:r w:rsidR="000C71F9" w:rsidRPr="000C71F9">
        <w:rPr>
          <w:rFonts w:ascii="Times New Roman" w:eastAsia="標楷體" w:hAnsi="Times New Roman" w:hint="eastAsia"/>
          <w:sz w:val="28"/>
          <w:szCs w:val="22"/>
        </w:rPr>
        <w:t>及失能傷害嚴重度</w:t>
      </w:r>
      <w:r w:rsidR="000C71F9" w:rsidRPr="000C71F9">
        <w:rPr>
          <w:rFonts w:ascii="Times New Roman" w:eastAsia="標楷體" w:hAnsi="Times New Roman"/>
          <w:sz w:val="28"/>
          <w:szCs w:val="22"/>
        </w:rPr>
        <w:t xml:space="preserve"> ( Disabling Severity Rate</w:t>
      </w:r>
      <w:r w:rsidR="000C71F9" w:rsidRPr="000C71F9">
        <w:rPr>
          <w:rFonts w:ascii="Times New Roman" w:eastAsia="標楷體" w:hAnsi="Times New Roman" w:hint="eastAsia"/>
          <w:sz w:val="28"/>
          <w:szCs w:val="22"/>
        </w:rPr>
        <w:t>，</w:t>
      </w:r>
      <w:r w:rsidR="000C71F9" w:rsidRPr="000C71F9">
        <w:rPr>
          <w:rFonts w:ascii="Times New Roman" w:eastAsia="標楷體" w:hAnsi="Times New Roman"/>
          <w:sz w:val="28"/>
          <w:szCs w:val="22"/>
        </w:rPr>
        <w:t xml:space="preserve">SR) </w:t>
      </w:r>
      <w:r w:rsidR="000C71F9" w:rsidRPr="000C71F9">
        <w:rPr>
          <w:rFonts w:ascii="Times New Roman" w:eastAsia="標楷體" w:hAnsi="Times New Roman" w:hint="eastAsia"/>
          <w:sz w:val="28"/>
          <w:szCs w:val="22"/>
        </w:rPr>
        <w:t>等績效指標</w:t>
      </w:r>
      <w:r w:rsidR="000C71F9" w:rsidRPr="000C71F9">
        <w:rPr>
          <w:rFonts w:ascii="Times New Roman" w:eastAsia="標楷體" w:hAnsi="Times New Roman" w:cs="Times New Roman" w:hint="eastAsia"/>
          <w:sz w:val="28"/>
          <w:szCs w:val="22"/>
        </w:rPr>
        <w:t>。</w:t>
      </w:r>
      <w:r w:rsidR="000C71F9" w:rsidRPr="000C71F9">
        <w:rPr>
          <w:rFonts w:ascii="Times New Roman" w:eastAsia="標楷體" w:hAnsi="Times New Roman" w:cs="Times New Roman"/>
          <w:sz w:val="28"/>
          <w:szCs w:val="22"/>
        </w:rPr>
        <w:t xml:space="preserve"> </w:t>
      </w:r>
      <w:r w:rsidR="000C71F9" w:rsidRPr="000C71F9">
        <w:rPr>
          <w:rFonts w:ascii="Times New Roman" w:eastAsia="標楷體" w:hAnsi="Times New Roman"/>
          <w:sz w:val="28"/>
          <w:szCs w:val="22"/>
        </w:rPr>
        <w:t>2015</w:t>
      </w:r>
      <w:r w:rsidR="000C71F9" w:rsidRPr="000C71F9">
        <w:rPr>
          <w:rFonts w:ascii="Times New Roman" w:eastAsia="標楷體" w:hAnsi="Times New Roman" w:hint="eastAsia"/>
          <w:sz w:val="28"/>
          <w:szCs w:val="22"/>
        </w:rPr>
        <w:t>年職災管理統計</w:t>
      </w:r>
      <w:r w:rsidR="000C71F9" w:rsidRPr="000C71F9">
        <w:rPr>
          <w:rFonts w:ascii="Times New Roman" w:eastAsia="標楷體" w:hAnsi="Times New Roman" w:cs="Times New Roman" w:hint="eastAsia"/>
          <w:sz w:val="28"/>
          <w:szCs w:val="22"/>
        </w:rPr>
        <w:t>，</w:t>
      </w:r>
      <w:r w:rsidR="000C71F9" w:rsidRPr="000C71F9">
        <w:rPr>
          <w:rFonts w:ascii="Times New Roman" w:eastAsia="標楷體" w:hAnsi="Times New Roman" w:hint="eastAsia"/>
          <w:sz w:val="28"/>
          <w:szCs w:val="22"/>
        </w:rPr>
        <w:t>於製鞋業務廠區</w:t>
      </w:r>
      <w:r w:rsidR="000C71F9" w:rsidRPr="000C71F9">
        <w:rPr>
          <w:rFonts w:ascii="Times New Roman" w:eastAsia="標楷體" w:hAnsi="Times New Roman"/>
          <w:sz w:val="28"/>
          <w:szCs w:val="22"/>
        </w:rPr>
        <w:t>(</w:t>
      </w:r>
      <w:r w:rsidR="000C71F9" w:rsidRPr="000C71F9">
        <w:rPr>
          <w:rFonts w:ascii="Times New Roman" w:eastAsia="標楷體" w:hAnsi="Times New Roman" w:hint="eastAsia"/>
          <w:sz w:val="28"/>
          <w:szCs w:val="22"/>
        </w:rPr>
        <w:t>不包含獨立承包商作業</w:t>
      </w:r>
      <w:r w:rsidR="000C71F9" w:rsidRPr="000C71F9">
        <w:rPr>
          <w:rFonts w:ascii="Times New Roman" w:eastAsia="標楷體" w:hAnsi="Times New Roman"/>
          <w:sz w:val="28"/>
          <w:szCs w:val="22"/>
        </w:rPr>
        <w:t>)</w:t>
      </w:r>
      <w:r w:rsidR="000C71F9" w:rsidRPr="000C71F9">
        <w:rPr>
          <w:rFonts w:ascii="Times New Roman" w:eastAsia="標楷體" w:hAnsi="Times New Roman" w:hint="eastAsia"/>
          <w:sz w:val="28"/>
          <w:szCs w:val="22"/>
        </w:rPr>
        <w:t>所發生的職災總件數為</w:t>
      </w:r>
      <w:r w:rsidR="000C71F9" w:rsidRPr="000C71F9">
        <w:rPr>
          <w:rFonts w:ascii="Times New Roman" w:eastAsia="標楷體" w:hAnsi="Times New Roman"/>
          <w:sz w:val="28"/>
          <w:szCs w:val="22"/>
        </w:rPr>
        <w:t xml:space="preserve"> 946 </w:t>
      </w:r>
      <w:r w:rsidR="000C71F9" w:rsidRPr="000C71F9">
        <w:rPr>
          <w:rFonts w:ascii="Times New Roman" w:eastAsia="標楷體" w:hAnsi="Times New Roman" w:hint="eastAsia"/>
          <w:sz w:val="28"/>
          <w:szCs w:val="22"/>
        </w:rPr>
        <w:t>件</w:t>
      </w:r>
      <w:r w:rsidR="000C71F9" w:rsidRPr="000C71F9">
        <w:rPr>
          <w:rFonts w:ascii="Times New Roman" w:eastAsia="標楷體" w:hAnsi="Times New Roman"/>
          <w:sz w:val="28"/>
          <w:szCs w:val="22"/>
        </w:rPr>
        <w:t>(</w:t>
      </w:r>
      <w:r w:rsidR="000C71F9" w:rsidRPr="000C71F9">
        <w:rPr>
          <w:rFonts w:ascii="Times New Roman" w:eastAsia="標楷體" w:hAnsi="Times New Roman" w:hint="eastAsia"/>
          <w:sz w:val="28"/>
          <w:szCs w:val="22"/>
        </w:rPr>
        <w:t>不含交通事故</w:t>
      </w:r>
      <w:r w:rsidR="000C71F9" w:rsidRPr="000C71F9">
        <w:rPr>
          <w:rFonts w:ascii="Times New Roman" w:eastAsia="標楷體" w:hAnsi="Times New Roman"/>
          <w:sz w:val="28"/>
          <w:szCs w:val="22"/>
        </w:rPr>
        <w:t>)</w:t>
      </w:r>
      <w:r w:rsidR="000C71F9" w:rsidRPr="000C71F9">
        <w:rPr>
          <w:rFonts w:ascii="Times New Roman" w:eastAsia="標楷體" w:hAnsi="Times New Roman" w:cs="Times New Roman" w:hint="eastAsia"/>
          <w:sz w:val="28"/>
          <w:szCs w:val="22"/>
        </w:rPr>
        <w:t>，</w:t>
      </w:r>
      <w:r w:rsidR="000C71F9" w:rsidRPr="000C71F9">
        <w:rPr>
          <w:rFonts w:ascii="Times New Roman" w:eastAsia="標楷體" w:hAnsi="Times New Roman" w:hint="eastAsia"/>
          <w:sz w:val="28"/>
          <w:szCs w:val="22"/>
        </w:rPr>
        <w:t>未發生因工作因素導致人員死亡事件</w:t>
      </w:r>
      <w:r w:rsidR="000C71F9" w:rsidRPr="000C71F9">
        <w:rPr>
          <w:rFonts w:ascii="Times New Roman" w:eastAsia="標楷體" w:hAnsi="Times New Roman" w:cs="Times New Roman" w:hint="eastAsia"/>
          <w:sz w:val="28"/>
          <w:szCs w:val="22"/>
        </w:rPr>
        <w:t>，</w:t>
      </w:r>
      <w:r w:rsidR="000C71F9" w:rsidRPr="000C71F9">
        <w:rPr>
          <w:rFonts w:ascii="Times New Roman" w:eastAsia="標楷體" w:hAnsi="Times New Roman" w:hint="eastAsia"/>
          <w:sz w:val="28"/>
          <w:szCs w:val="22"/>
        </w:rPr>
        <w:t>累計總損失日數為</w:t>
      </w:r>
      <w:r w:rsidR="000C71F9" w:rsidRPr="000C71F9">
        <w:rPr>
          <w:rFonts w:ascii="Times New Roman" w:eastAsia="標楷體" w:hAnsi="Times New Roman"/>
          <w:sz w:val="28"/>
          <w:szCs w:val="22"/>
        </w:rPr>
        <w:t xml:space="preserve"> 21,531 </w:t>
      </w:r>
      <w:r w:rsidR="000C71F9" w:rsidRPr="000C71F9">
        <w:rPr>
          <w:rFonts w:ascii="Times New Roman" w:eastAsia="標楷體" w:hAnsi="Times New Roman" w:hint="eastAsia"/>
          <w:sz w:val="28"/>
          <w:szCs w:val="22"/>
        </w:rPr>
        <w:t>天</w:t>
      </w:r>
      <w:r w:rsidR="000C71F9" w:rsidRPr="000C71F9">
        <w:rPr>
          <w:rFonts w:ascii="Times New Roman" w:eastAsia="標楷體" w:hAnsi="Times New Roman"/>
          <w:sz w:val="28"/>
          <w:szCs w:val="22"/>
        </w:rPr>
        <w:t>(</w:t>
      </w:r>
      <w:r w:rsidR="000C71F9" w:rsidRPr="000C71F9">
        <w:rPr>
          <w:rFonts w:ascii="Times New Roman" w:eastAsia="標楷體" w:hAnsi="Times New Roman" w:hint="eastAsia"/>
          <w:sz w:val="28"/>
          <w:szCs w:val="22"/>
        </w:rPr>
        <w:t>按失能傷害損失天數計算</w:t>
      </w:r>
      <w:r w:rsidR="000C71F9" w:rsidRPr="000C71F9">
        <w:rPr>
          <w:rFonts w:ascii="Times New Roman" w:eastAsia="標楷體" w:hAnsi="Times New Roman"/>
          <w:sz w:val="28"/>
          <w:szCs w:val="22"/>
        </w:rPr>
        <w:t>)</w:t>
      </w:r>
      <w:r w:rsidR="000C71F9" w:rsidRPr="000C71F9">
        <w:rPr>
          <w:rFonts w:ascii="Times New Roman" w:eastAsia="標楷體" w:hAnsi="Times New Roman" w:cs="Times New Roman" w:hint="eastAsia"/>
          <w:sz w:val="28"/>
          <w:szCs w:val="22"/>
        </w:rPr>
        <w:t>。</w:t>
      </w:r>
    </w:p>
    <w:sectPr w:rsidR="000C71F9" w:rsidRPr="000C014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87" w:rsidRDefault="00883087" w:rsidP="00256F30">
      <w:r>
        <w:separator/>
      </w:r>
    </w:p>
  </w:endnote>
  <w:endnote w:type="continuationSeparator" w:id="0">
    <w:p w:rsidR="00883087" w:rsidRDefault="00883087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87" w:rsidRDefault="00883087" w:rsidP="00256F30">
      <w:r>
        <w:separator/>
      </w:r>
    </w:p>
  </w:footnote>
  <w:footnote w:type="continuationSeparator" w:id="0">
    <w:p w:rsidR="00883087" w:rsidRDefault="00883087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38"/>
    <w:multiLevelType w:val="hybridMultilevel"/>
    <w:tmpl w:val="A364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AE3D77"/>
    <w:multiLevelType w:val="hybridMultilevel"/>
    <w:tmpl w:val="6B3E9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3EA8"/>
    <w:rsid w:val="00043358"/>
    <w:rsid w:val="00064667"/>
    <w:rsid w:val="00075E12"/>
    <w:rsid w:val="00080C2D"/>
    <w:rsid w:val="00095470"/>
    <w:rsid w:val="000A048F"/>
    <w:rsid w:val="000A2CB6"/>
    <w:rsid w:val="000C014F"/>
    <w:rsid w:val="000C71F9"/>
    <w:rsid w:val="000D6812"/>
    <w:rsid w:val="000E3427"/>
    <w:rsid w:val="000E3F46"/>
    <w:rsid w:val="000F2048"/>
    <w:rsid w:val="000F21E7"/>
    <w:rsid w:val="000F494A"/>
    <w:rsid w:val="000F4B24"/>
    <w:rsid w:val="000F6D67"/>
    <w:rsid w:val="0010000A"/>
    <w:rsid w:val="00123B8D"/>
    <w:rsid w:val="00125255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E5ADD"/>
    <w:rsid w:val="001F2E21"/>
    <w:rsid w:val="001F401F"/>
    <w:rsid w:val="001F7895"/>
    <w:rsid w:val="00204336"/>
    <w:rsid w:val="002046C5"/>
    <w:rsid w:val="00210D4F"/>
    <w:rsid w:val="00227A96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4BE5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2C5E"/>
    <w:rsid w:val="00513565"/>
    <w:rsid w:val="00520C87"/>
    <w:rsid w:val="00522D67"/>
    <w:rsid w:val="00540852"/>
    <w:rsid w:val="00545641"/>
    <w:rsid w:val="00554C94"/>
    <w:rsid w:val="00573627"/>
    <w:rsid w:val="0057608A"/>
    <w:rsid w:val="005B1D6D"/>
    <w:rsid w:val="005B286C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31F1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295A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96BF3"/>
    <w:rsid w:val="007A41B6"/>
    <w:rsid w:val="007B56C1"/>
    <w:rsid w:val="007C5F12"/>
    <w:rsid w:val="007D5632"/>
    <w:rsid w:val="007E411B"/>
    <w:rsid w:val="007E5AEC"/>
    <w:rsid w:val="00806A26"/>
    <w:rsid w:val="008148BE"/>
    <w:rsid w:val="00825272"/>
    <w:rsid w:val="00827A71"/>
    <w:rsid w:val="00833D04"/>
    <w:rsid w:val="00843165"/>
    <w:rsid w:val="00844056"/>
    <w:rsid w:val="0086748A"/>
    <w:rsid w:val="00870649"/>
    <w:rsid w:val="00874CB7"/>
    <w:rsid w:val="00876270"/>
    <w:rsid w:val="00877DD4"/>
    <w:rsid w:val="008816F5"/>
    <w:rsid w:val="00883087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5722D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08C5"/>
    <w:rsid w:val="00A711D1"/>
    <w:rsid w:val="00A77AE4"/>
    <w:rsid w:val="00A80EB3"/>
    <w:rsid w:val="00A933FB"/>
    <w:rsid w:val="00A93585"/>
    <w:rsid w:val="00AA1A4D"/>
    <w:rsid w:val="00AA42CE"/>
    <w:rsid w:val="00AA6244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A7657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129A"/>
    <w:rsid w:val="00C92BA3"/>
    <w:rsid w:val="00CA0505"/>
    <w:rsid w:val="00CA1851"/>
    <w:rsid w:val="00CC770D"/>
    <w:rsid w:val="00CD2ED6"/>
    <w:rsid w:val="00CD3776"/>
    <w:rsid w:val="00CF1453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D2B79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A6649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C8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6F16DBB-07C7-4DB9-9292-BFADE750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customStyle="1" w:styleId="Default">
    <w:name w:val="Default"/>
    <w:rsid w:val="000C71F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7</cp:revision>
  <dcterms:created xsi:type="dcterms:W3CDTF">2016-12-23T03:46:00Z</dcterms:created>
  <dcterms:modified xsi:type="dcterms:W3CDTF">2016-12-23T04:05:00Z</dcterms:modified>
</cp:coreProperties>
</file>