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D75D7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第一金控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9A1BF2">
        <w:rPr>
          <w:rFonts w:ascii="Times New Roman" w:eastAsia="標楷體" w:hAnsi="Times New Roman" w:hint="eastAsia"/>
          <w:sz w:val="32"/>
          <w:szCs w:val="28"/>
        </w:rPr>
        <w:t>人權政策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663850">
        <w:rPr>
          <w:rFonts w:ascii="Times New Roman" w:eastAsia="標楷體" w:hAnsi="Times New Roman" w:hint="eastAsia"/>
          <w:sz w:val="28"/>
          <w:szCs w:val="28"/>
        </w:rPr>
        <w:t>十八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F6159C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r w:rsidR="00C20CF1">
        <w:rPr>
          <w:rFonts w:ascii="Times New Roman" w:eastAsia="標楷體" w:hint="eastAsia"/>
        </w:rPr>
        <w:t>第一金控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D66BF" w:rsidRDefault="00A93652" w:rsidP="001D66B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第一金控</w:t>
      </w:r>
      <w:r w:rsidR="009A1BF2" w:rsidRPr="009A1BF2">
        <w:rPr>
          <w:rFonts w:ascii="Times New Roman" w:eastAsia="標楷體" w:hAnsi="Times New Roman" w:hint="eastAsia"/>
          <w:i/>
          <w:sz w:val="28"/>
        </w:rPr>
        <w:t>為維護人性尊嚴與基本人權，以經濟、社會與環境生態之平衡及永續發展為目標，第一金控與供應商均承諾應遵循國際公認之勞動人權，如保障員工之合法權益，雇用政策無差別待遇</w:t>
      </w:r>
    </w:p>
    <w:p w:rsidR="00FE54FA" w:rsidRPr="000E3F46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556B8C" w:rsidRPr="002520EC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C9778E">
        <w:rPr>
          <w:rFonts w:ascii="Times New Roman" w:eastAsia="標楷體" w:hAnsi="Times New Roman" w:hint="eastAsia"/>
          <w:sz w:val="28"/>
        </w:rPr>
        <w:t>第一金控在第一銀行累積的穩固基礎上，於</w:t>
      </w:r>
      <w:r w:rsidRPr="00C9778E">
        <w:rPr>
          <w:rFonts w:ascii="Times New Roman" w:eastAsia="標楷體" w:hAnsi="Times New Roman" w:hint="eastAsia"/>
          <w:sz w:val="28"/>
        </w:rPr>
        <w:t>2003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7</w:t>
      </w:r>
      <w:r w:rsidRPr="00C9778E">
        <w:rPr>
          <w:rFonts w:ascii="Times New Roman" w:eastAsia="標楷體" w:hAnsi="Times New Roman" w:hint="eastAsia"/>
          <w:sz w:val="28"/>
        </w:rPr>
        <w:t>月</w:t>
      </w:r>
      <w:r w:rsidRPr="00C9778E">
        <w:rPr>
          <w:rFonts w:ascii="Times New Roman" w:eastAsia="標楷體" w:hAnsi="Times New Roman" w:hint="eastAsia"/>
          <w:sz w:val="28"/>
        </w:rPr>
        <w:t>31</w:t>
      </w:r>
      <w:r w:rsidRPr="00C9778E">
        <w:rPr>
          <w:rFonts w:ascii="Times New Roman" w:eastAsia="標楷體" w:hAnsi="Times New Roman" w:hint="eastAsia"/>
          <w:sz w:val="28"/>
        </w:rPr>
        <w:t>日再橫向結盟異業，換股合併一銀證券、明台產險、建弘投信，集團版圖因此橫跨銀行、證券、產險與資產管理。</w:t>
      </w:r>
      <w:r w:rsidRPr="00C9778E">
        <w:rPr>
          <w:rFonts w:ascii="Times New Roman" w:eastAsia="標楷體" w:hAnsi="Times New Roman" w:hint="eastAsia"/>
          <w:sz w:val="28"/>
        </w:rPr>
        <w:t>2003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7</w:t>
      </w:r>
      <w:r w:rsidRPr="00C9778E">
        <w:rPr>
          <w:rFonts w:ascii="Times New Roman" w:eastAsia="標楷體" w:hAnsi="Times New Roman" w:hint="eastAsia"/>
          <w:sz w:val="28"/>
        </w:rPr>
        <w:t>月</w:t>
      </w:r>
      <w:r w:rsidRPr="00C9778E">
        <w:rPr>
          <w:rFonts w:ascii="Times New Roman" w:eastAsia="標楷體" w:hAnsi="Times New Roman" w:hint="eastAsia"/>
          <w:sz w:val="28"/>
        </w:rPr>
        <w:t>28</w:t>
      </w:r>
      <w:r w:rsidRPr="00C9778E">
        <w:rPr>
          <w:rFonts w:ascii="Times New Roman" w:eastAsia="標楷體" w:hAnsi="Times New Roman" w:hint="eastAsia"/>
          <w:sz w:val="28"/>
        </w:rPr>
        <w:t>日，更成功以新股發行臺灣金融機構首宗海外存託憑證，募集約新臺幣</w:t>
      </w:r>
      <w:r w:rsidRPr="00C9778E">
        <w:rPr>
          <w:rFonts w:ascii="Times New Roman" w:eastAsia="標楷體" w:hAnsi="Times New Roman" w:hint="eastAsia"/>
          <w:sz w:val="28"/>
        </w:rPr>
        <w:t>173</w:t>
      </w:r>
      <w:r w:rsidRPr="00C9778E">
        <w:rPr>
          <w:rFonts w:ascii="Times New Roman" w:eastAsia="標楷體" w:hAnsi="Times New Roman" w:hint="eastAsia"/>
          <w:sz w:val="28"/>
        </w:rPr>
        <w:t>億元，並有效改善第一金控及其子公司之財務結構。</w:t>
      </w:r>
      <w:r w:rsidRPr="00C9778E">
        <w:rPr>
          <w:rFonts w:ascii="Times New Roman" w:eastAsia="標楷體" w:hAnsi="Times New Roman" w:hint="eastAsia"/>
          <w:sz w:val="28"/>
        </w:rPr>
        <w:t>2004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5</w:t>
      </w:r>
      <w:r w:rsidRPr="00C9778E">
        <w:rPr>
          <w:rFonts w:ascii="Times New Roman" w:eastAsia="標楷體" w:hAnsi="Times New Roman" w:hint="eastAsia"/>
          <w:sz w:val="28"/>
        </w:rPr>
        <w:t>月至</w:t>
      </w:r>
      <w:r w:rsidRPr="00C9778E">
        <w:rPr>
          <w:rFonts w:ascii="Times New Roman" w:eastAsia="標楷體" w:hAnsi="Times New Roman" w:hint="eastAsia"/>
          <w:sz w:val="28"/>
        </w:rPr>
        <w:t>9</w:t>
      </w:r>
      <w:r w:rsidRPr="00C9778E">
        <w:rPr>
          <w:rFonts w:ascii="Times New Roman" w:eastAsia="標楷體" w:hAnsi="Times New Roman" w:hint="eastAsia"/>
          <w:sz w:val="28"/>
        </w:rPr>
        <w:t>月間，第一金控再以設立子公司的方式，陸續跨入不良債權資產管理、創業投資、金融管理顧問與財產保險代理金融服務業務。</w:t>
      </w:r>
      <w:r w:rsidRPr="00C9778E">
        <w:rPr>
          <w:rFonts w:ascii="Times New Roman" w:eastAsia="標楷體" w:hAnsi="Times New Roman" w:hint="eastAsia"/>
          <w:sz w:val="28"/>
        </w:rPr>
        <w:t>2005</w:t>
      </w:r>
      <w:r w:rsidRPr="00C9778E">
        <w:rPr>
          <w:rFonts w:ascii="Times New Roman" w:eastAsia="標楷體" w:hAnsi="Times New Roman" w:hint="eastAsia"/>
          <w:sz w:val="28"/>
        </w:rPr>
        <w:t>年，第一金控重新擬定集團發展策略，宣示在銀行通路的基礎上，藉由集團資源共享與財務運籌，積極經營一次購足的金融服務與商品銷售，以逐步達成成為臺灣與區域最佳領導金融機構願景。隨後在</w:t>
      </w:r>
      <w:r w:rsidRPr="00C9778E">
        <w:rPr>
          <w:rFonts w:ascii="Times New Roman" w:eastAsia="標楷體" w:hAnsi="Times New Roman" w:hint="eastAsia"/>
          <w:sz w:val="28"/>
        </w:rPr>
        <w:t>2005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9</w:t>
      </w:r>
      <w:r w:rsidRPr="00C9778E">
        <w:rPr>
          <w:rFonts w:ascii="Times New Roman" w:eastAsia="標楷體" w:hAnsi="Times New Roman" w:hint="eastAsia"/>
          <w:sz w:val="28"/>
        </w:rPr>
        <w:t>月，完成出售子公司明台產險予日商三井住友保險公司，並於</w:t>
      </w:r>
      <w:r w:rsidRPr="00C9778E">
        <w:rPr>
          <w:rFonts w:ascii="Times New Roman" w:eastAsia="標楷體" w:hAnsi="Times New Roman" w:hint="eastAsia"/>
          <w:sz w:val="28"/>
        </w:rPr>
        <w:t>2006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4</w:t>
      </w:r>
      <w:r w:rsidRPr="00C9778E">
        <w:rPr>
          <w:rFonts w:ascii="Times New Roman" w:eastAsia="標楷體" w:hAnsi="Times New Roman" w:hint="eastAsia"/>
          <w:sz w:val="28"/>
        </w:rPr>
        <w:t>月在銀行端完成事業群新組織架構的調整。</w:t>
      </w:r>
    </w:p>
    <w:p w:rsidR="00C9778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C9778E" w:rsidRPr="005501A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</w:p>
    <w:p w:rsidR="00AE4E70" w:rsidRDefault="00AE4E7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9A1BF2" w:rsidRPr="009A1BF2" w:rsidRDefault="009A1BF2" w:rsidP="009A1BF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第一金控</w:t>
      </w:r>
      <w:r w:rsidRPr="009A1BF2">
        <w:rPr>
          <w:rFonts w:ascii="Times New Roman" w:eastAsia="標楷體" w:hAnsi="Times New Roman" w:hint="eastAsia"/>
          <w:sz w:val="28"/>
        </w:rPr>
        <w:t>各</w:t>
      </w:r>
      <w:r>
        <w:rPr>
          <w:rFonts w:ascii="Times New Roman" w:eastAsia="標楷體" w:hAnsi="Times New Roman" w:hint="eastAsia"/>
          <w:sz w:val="28"/>
        </w:rPr>
        <w:t>子</w:t>
      </w:r>
      <w:r w:rsidRPr="009A1BF2">
        <w:rPr>
          <w:rFonts w:ascii="Times New Roman" w:eastAsia="標楷體" w:hAnsi="Times New Roman" w:hint="eastAsia"/>
          <w:sz w:val="28"/>
        </w:rPr>
        <w:t>公司對於員工之招募、甄試、進用、分發、職務歷練、薪酬福利、升遷、教育訓練及退休計劃，不因種族、階級、語言、思想、宗教、黨派、籍貫、出生地、性別、性傾向、年齡、婚姻、容貌、五官、身心障礙及工會身分等而有差異，落實工作平權。</w:t>
      </w:r>
      <w:r w:rsidRPr="009A1BF2">
        <w:rPr>
          <w:rFonts w:ascii="Times New Roman" w:eastAsia="標楷體" w:hAnsi="Times New Roman" w:hint="eastAsia"/>
          <w:sz w:val="28"/>
        </w:rPr>
        <w:t>2017</w:t>
      </w:r>
      <w:r w:rsidRPr="009A1BF2">
        <w:rPr>
          <w:rFonts w:ascii="Times New Roman" w:eastAsia="標楷體" w:hAnsi="Times New Roman" w:hint="eastAsia"/>
          <w:sz w:val="28"/>
        </w:rPr>
        <w:t>年未有違反人權、侵害原住民權利事件及歧視事件發生，各</w:t>
      </w:r>
      <w:r>
        <w:rPr>
          <w:rFonts w:ascii="Times New Roman" w:eastAsia="標楷體" w:hAnsi="Times New Roman" w:hint="eastAsia"/>
          <w:sz w:val="28"/>
        </w:rPr>
        <w:t>子</w:t>
      </w:r>
      <w:r w:rsidRPr="009A1BF2">
        <w:rPr>
          <w:rFonts w:ascii="Times New Roman" w:eastAsia="標楷體" w:hAnsi="Times New Roman" w:hint="eastAsia"/>
          <w:sz w:val="28"/>
        </w:rPr>
        <w:t>公司亦無</w:t>
      </w:r>
      <w:r>
        <w:rPr>
          <w:rFonts w:ascii="Times New Roman" w:eastAsia="標楷體" w:hAnsi="Times New Roman" w:hint="eastAsia"/>
          <w:sz w:val="28"/>
        </w:rPr>
        <w:t>併購或簽訂重大投資協議等情事。</w:t>
      </w:r>
      <w:r w:rsidRPr="009A1BF2">
        <w:rPr>
          <w:rFonts w:ascii="Times New Roman" w:eastAsia="標楷體" w:hAnsi="Times New Roman" w:hint="eastAsia"/>
          <w:sz w:val="28"/>
        </w:rPr>
        <w:t>在人事規章中明定並落實不聘用未滿</w:t>
      </w:r>
      <w:r w:rsidRPr="009A1BF2">
        <w:rPr>
          <w:rFonts w:ascii="Times New Roman" w:eastAsia="標楷體" w:hAnsi="Times New Roman" w:hint="eastAsia"/>
          <w:sz w:val="28"/>
        </w:rPr>
        <w:t>16</w:t>
      </w:r>
      <w:r w:rsidRPr="009A1BF2">
        <w:rPr>
          <w:rFonts w:ascii="Times New Roman" w:eastAsia="標楷體" w:hAnsi="Times New Roman" w:hint="eastAsia"/>
          <w:sz w:val="28"/>
        </w:rPr>
        <w:t>歲者為員工及非典型聘用</w:t>
      </w:r>
      <w:r w:rsidRPr="009A1BF2">
        <w:rPr>
          <w:rFonts w:ascii="Times New Roman" w:eastAsia="標楷體" w:hAnsi="Times New Roman" w:hint="eastAsia"/>
          <w:sz w:val="28"/>
        </w:rPr>
        <w:t>(</w:t>
      </w:r>
      <w:r w:rsidRPr="009A1BF2">
        <w:rPr>
          <w:rFonts w:ascii="Times New Roman" w:eastAsia="標楷體" w:hAnsi="Times New Roman" w:hint="eastAsia"/>
          <w:sz w:val="28"/>
        </w:rPr>
        <w:t>含派遣及保全人員</w:t>
      </w:r>
      <w:r w:rsidRPr="009A1BF2">
        <w:rPr>
          <w:rFonts w:ascii="Times New Roman" w:eastAsia="標楷體" w:hAnsi="Times New Roman" w:hint="eastAsia"/>
          <w:sz w:val="28"/>
        </w:rPr>
        <w:t>)</w:t>
      </w:r>
      <w:r w:rsidRPr="009A1BF2">
        <w:rPr>
          <w:rFonts w:ascii="Times New Roman" w:eastAsia="標楷體" w:hAnsi="Times New Roman" w:hint="eastAsia"/>
          <w:sz w:val="28"/>
        </w:rPr>
        <w:t>，並遵循勞動基準法，不以強暴、脅迫、拘禁或其他非法之方式強制勞工從事勞動。</w:t>
      </w:r>
    </w:p>
    <w:p w:rsidR="00606BBD" w:rsidRDefault="009A1BF2" w:rsidP="009A1BF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A1BF2">
        <w:rPr>
          <w:rFonts w:ascii="Times New Roman" w:eastAsia="標楷體" w:hAnsi="Times New Roman" w:hint="eastAsia"/>
          <w:sz w:val="28"/>
        </w:rPr>
        <w:t>而為維護人性尊嚴與基本人權，以經濟、社會與</w:t>
      </w:r>
      <w:r>
        <w:rPr>
          <w:rFonts w:ascii="Times New Roman" w:eastAsia="標楷體" w:hAnsi="Times New Roman" w:hint="eastAsia"/>
          <w:sz w:val="28"/>
        </w:rPr>
        <w:t>環境生態之平衡及永續發展為目標，第一金控</w:t>
      </w:r>
      <w:r w:rsidRPr="009A1BF2">
        <w:rPr>
          <w:rFonts w:ascii="Times New Roman" w:eastAsia="標楷體" w:hAnsi="Times New Roman" w:hint="eastAsia"/>
          <w:sz w:val="28"/>
        </w:rPr>
        <w:t>與供應商均承諾應遵循國際公認之勞動人權，如保障員工之合法權益，雇用政策無差別待遇，禁用童工及消除各種形式之強迫勞動等。另除業務需要、人才培訓等因素外，第一金控依員工意願、勞動主管機關函釋之調動五原則及相關規範，執行職務、單位間輪調，幫助員工全方位了解公司營運，並將高績效高潛力之員工列為優先培育對象，執行關鍵人才職涯管理及接班人培育規劃；</w:t>
      </w:r>
      <w:r>
        <w:rPr>
          <w:rFonts w:ascii="Times New Roman" w:eastAsia="標楷體" w:hAnsi="Times New Roman" w:hint="eastAsia"/>
          <w:sz w:val="28"/>
        </w:rPr>
        <w:t>且鼓勵中南部員工赴任北部學習各項核心業務。</w:t>
      </w:r>
    </w:p>
    <w:p w:rsidR="00606BBD" w:rsidRPr="00606BBD" w:rsidRDefault="00606BBD" w:rsidP="00606BBD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</w:p>
    <w:sectPr w:rsidR="00606BBD" w:rsidRPr="00606BB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72" w:rsidRDefault="008A6B72" w:rsidP="00256F30">
      <w:r>
        <w:separator/>
      </w:r>
    </w:p>
  </w:endnote>
  <w:endnote w:type="continuationSeparator" w:id="0">
    <w:p w:rsidR="008A6B72" w:rsidRDefault="008A6B72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72" w:rsidRDefault="008A6B72" w:rsidP="00256F30">
      <w:r>
        <w:separator/>
      </w:r>
    </w:p>
  </w:footnote>
  <w:footnote w:type="continuationSeparator" w:id="0">
    <w:p w:rsidR="008A6B72" w:rsidRDefault="008A6B72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A3CDF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62190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01AE"/>
    <w:rsid w:val="00554C94"/>
    <w:rsid w:val="00556B8C"/>
    <w:rsid w:val="00573627"/>
    <w:rsid w:val="0057608A"/>
    <w:rsid w:val="005C0296"/>
    <w:rsid w:val="005D3828"/>
    <w:rsid w:val="005E20F8"/>
    <w:rsid w:val="005F72AE"/>
    <w:rsid w:val="00606BBD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850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153"/>
    <w:rsid w:val="007C5F12"/>
    <w:rsid w:val="007D5632"/>
    <w:rsid w:val="007E411B"/>
    <w:rsid w:val="007E5AEC"/>
    <w:rsid w:val="007F5D45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A6B72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770C"/>
    <w:rsid w:val="009A1BF2"/>
    <w:rsid w:val="009B0984"/>
    <w:rsid w:val="009B141E"/>
    <w:rsid w:val="009C3C9F"/>
    <w:rsid w:val="009D0A0B"/>
    <w:rsid w:val="009E1985"/>
    <w:rsid w:val="009E572E"/>
    <w:rsid w:val="009F68CB"/>
    <w:rsid w:val="00A05663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4E70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6F1B"/>
    <w:rsid w:val="00D21AEE"/>
    <w:rsid w:val="00D22F28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53D4"/>
    <w:rsid w:val="00D75D70"/>
    <w:rsid w:val="00D77E91"/>
    <w:rsid w:val="00D94472"/>
    <w:rsid w:val="00D97331"/>
    <w:rsid w:val="00DA0BD0"/>
    <w:rsid w:val="00DA3CE8"/>
    <w:rsid w:val="00DC4D53"/>
    <w:rsid w:val="00DD189A"/>
    <w:rsid w:val="00DE02DB"/>
    <w:rsid w:val="00DE49F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13202"/>
    <w:rsid w:val="00F316DF"/>
    <w:rsid w:val="00F3307C"/>
    <w:rsid w:val="00F44F8B"/>
    <w:rsid w:val="00F55C9B"/>
    <w:rsid w:val="00F60B49"/>
    <w:rsid w:val="00F6159C"/>
    <w:rsid w:val="00F61AB4"/>
    <w:rsid w:val="00F6304E"/>
    <w:rsid w:val="00F725E2"/>
    <w:rsid w:val="00F77268"/>
    <w:rsid w:val="00F807B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4</cp:revision>
  <dcterms:created xsi:type="dcterms:W3CDTF">2019-01-07T06:21:00Z</dcterms:created>
  <dcterms:modified xsi:type="dcterms:W3CDTF">2019-01-07T07:53:00Z</dcterms:modified>
</cp:coreProperties>
</file>