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01" w:rsidRDefault="00F5372B" w:rsidP="007F0E01">
      <w:pPr>
        <w:jc w:val="center"/>
        <w:rPr>
          <w:rFonts w:eastAsia="標楷體" w:hAnsi="標楷體" w:hint="eastAsia"/>
          <w:sz w:val="32"/>
          <w:szCs w:val="32"/>
        </w:rPr>
      </w:pPr>
      <w:r>
        <w:rPr>
          <w:rFonts w:eastAsia="標楷體" w:hAnsi="標楷體" w:hint="eastAsia"/>
          <w:sz w:val="32"/>
          <w:szCs w:val="32"/>
        </w:rPr>
        <w:t>聯合利華的</w:t>
      </w:r>
      <w:r w:rsidR="00A9504E">
        <w:rPr>
          <w:rFonts w:eastAsia="標楷體" w:hAnsi="標楷體" w:hint="eastAsia"/>
          <w:sz w:val="32"/>
          <w:szCs w:val="32"/>
        </w:rPr>
        <w:t>供應商規範</w:t>
      </w:r>
    </w:p>
    <w:p w:rsidR="007F0E01" w:rsidRDefault="00870707" w:rsidP="007F0E01">
      <w:pPr>
        <w:jc w:val="right"/>
        <w:rPr>
          <w:rFonts w:eastAsia="標楷體" w:hAnsi="標楷體" w:hint="eastAsia"/>
          <w:sz w:val="28"/>
          <w:szCs w:val="28"/>
        </w:rPr>
      </w:pPr>
      <w:r>
        <w:rPr>
          <w:rFonts w:eastAsia="標楷體" w:hAnsi="標楷體" w:hint="eastAsia"/>
          <w:sz w:val="28"/>
          <w:szCs w:val="28"/>
        </w:rPr>
        <w:t>第</w:t>
      </w:r>
      <w:r w:rsidR="004D0339">
        <w:rPr>
          <w:rFonts w:eastAsia="標楷體" w:hAnsi="標楷體" w:hint="eastAsia"/>
          <w:sz w:val="28"/>
          <w:szCs w:val="28"/>
        </w:rPr>
        <w:t>二十</w:t>
      </w:r>
      <w:r>
        <w:rPr>
          <w:rFonts w:eastAsia="標楷體" w:hAnsi="標楷體" w:hint="eastAsia"/>
          <w:sz w:val="28"/>
          <w:szCs w:val="28"/>
        </w:rPr>
        <w:t>七條</w:t>
      </w:r>
      <w:r w:rsidR="007F0E01" w:rsidRPr="007F0E01">
        <w:rPr>
          <w:rFonts w:eastAsia="標楷體" w:hAnsi="標楷體" w:hint="eastAsia"/>
          <w:sz w:val="28"/>
          <w:szCs w:val="28"/>
        </w:rPr>
        <w:t xml:space="preserve"> </w:t>
      </w:r>
      <w:r w:rsidR="007F0E01" w:rsidRPr="007F0E01">
        <w:rPr>
          <w:rFonts w:eastAsia="標楷體" w:hAnsi="標楷體" w:hint="eastAsia"/>
          <w:sz w:val="28"/>
          <w:szCs w:val="28"/>
        </w:rPr>
        <w:t>等級</w:t>
      </w:r>
      <w:r w:rsidR="007F0E01" w:rsidRPr="007F0E01">
        <w:rPr>
          <w:rFonts w:eastAsia="標楷體" w:hAnsi="標楷體" w:hint="eastAsia"/>
          <w:sz w:val="28"/>
          <w:szCs w:val="28"/>
        </w:rPr>
        <w:t xml:space="preserve">: </w:t>
      </w:r>
      <w:r w:rsidR="00DA73F6">
        <w:rPr>
          <w:rFonts w:eastAsia="標楷體" w:hAnsi="標楷體" w:hint="eastAsia"/>
          <w:sz w:val="28"/>
          <w:szCs w:val="28"/>
        </w:rPr>
        <w:t>領先</w:t>
      </w:r>
    </w:p>
    <w:p w:rsidR="004D0339" w:rsidRPr="004D0339" w:rsidRDefault="00E95B24" w:rsidP="004D0339">
      <w:pPr>
        <w:widowControl/>
        <w:spacing w:before="100" w:beforeAutospacing="1" w:after="100" w:afterAutospacing="1"/>
        <w:jc w:val="right"/>
        <w:rPr>
          <w:kern w:val="0"/>
        </w:rPr>
      </w:pPr>
      <w:r w:rsidRPr="00E95B24">
        <w:rPr>
          <w:rFonts w:eastAsia="標楷體" w:hAnsi="標楷體" w:hint="eastAsia"/>
        </w:rPr>
        <w:t>資料來源：</w:t>
      </w:r>
      <w:r w:rsidRPr="00E95B24">
        <w:rPr>
          <w:rFonts w:eastAsia="標楷體" w:hAnsi="標楷體" w:hint="eastAsia"/>
        </w:rPr>
        <w:t>20</w:t>
      </w:r>
      <w:r w:rsidR="00D57878">
        <w:rPr>
          <w:rFonts w:eastAsia="標楷體" w:hAnsi="標楷體" w:hint="eastAsia"/>
        </w:rPr>
        <w:t>1</w:t>
      </w:r>
      <w:r w:rsidRPr="00E95B24">
        <w:rPr>
          <w:rFonts w:eastAsia="標楷體" w:hAnsi="標楷體" w:hint="eastAsia"/>
        </w:rPr>
        <w:t>0</w:t>
      </w:r>
      <w:r w:rsidRPr="00E95B24">
        <w:rPr>
          <w:rFonts w:eastAsia="標楷體" w:hAnsi="標楷體" w:hint="eastAsia"/>
        </w:rPr>
        <w:t>年</w:t>
      </w:r>
      <w:r w:rsidR="00D57878">
        <w:rPr>
          <w:rFonts w:eastAsia="標楷體" w:hAnsi="標楷體" w:hint="eastAsia"/>
        </w:rPr>
        <w:t>聯合利華永續發展網頁資料：</w:t>
      </w:r>
      <w:r w:rsidR="00D57878">
        <w:rPr>
          <w:rFonts w:eastAsia="標楷體" w:hAnsi="標楷體" w:hint="eastAsia"/>
        </w:rPr>
        <w:t xml:space="preserve"> </w:t>
      </w:r>
      <w:hyperlink r:id="rId7" w:history="1">
        <w:r w:rsidR="004D0339" w:rsidRPr="004D0339">
          <w:rPr>
            <w:rStyle w:val="a7"/>
            <w:kern w:val="0"/>
          </w:rPr>
          <w:t>http://www.unilever.com/sustainability/customers-suppliers/suppliers/?WT.LHNAV=Suppliers</w:t>
        </w:r>
      </w:hyperlink>
    </w:p>
    <w:p w:rsidR="00F130B3" w:rsidRPr="004D0339" w:rsidRDefault="00F130B3" w:rsidP="009C1C6C">
      <w:pPr>
        <w:snapToGrid w:val="0"/>
        <w:spacing w:beforeLines="50" w:line="300" w:lineRule="auto"/>
        <w:jc w:val="right"/>
        <w:rPr>
          <w:rFonts w:eastAsia="標楷體" w:hAnsi="標楷體" w:hint="eastAsia"/>
        </w:rPr>
      </w:pPr>
    </w:p>
    <w:p w:rsidR="00D57878" w:rsidRDefault="00D57878" w:rsidP="009C1C6C">
      <w:pPr>
        <w:snapToGrid w:val="0"/>
        <w:spacing w:beforeLines="50" w:line="300" w:lineRule="auto"/>
        <w:jc w:val="right"/>
        <w:rPr>
          <w:rFonts w:eastAsia="標楷體" w:hAnsi="標楷體" w:hint="eastAsia"/>
        </w:rPr>
      </w:pPr>
    </w:p>
    <w:p w:rsidR="004D0339" w:rsidRPr="004D0339" w:rsidRDefault="004D0339" w:rsidP="004D0339">
      <w:pPr>
        <w:snapToGrid w:val="0"/>
        <w:spacing w:beforeLines="50" w:line="300" w:lineRule="auto"/>
        <w:jc w:val="both"/>
        <w:rPr>
          <w:rFonts w:eastAsia="標楷體"/>
          <w:i/>
          <w:sz w:val="28"/>
          <w:szCs w:val="28"/>
        </w:rPr>
      </w:pPr>
      <w:r w:rsidRPr="004D0339">
        <w:rPr>
          <w:rFonts w:eastAsia="標楷體" w:hint="eastAsia"/>
          <w:i/>
          <w:sz w:val="28"/>
          <w:szCs w:val="28"/>
        </w:rPr>
        <w:t>確保高營運標準在聯合利華產品與品牌的整體價值鏈中能貫徹並維持，聯合利華承諾協助供應商來符合聯合利華供應商規範</w:t>
      </w:r>
    </w:p>
    <w:p w:rsidR="004D0339" w:rsidRPr="004D0339" w:rsidRDefault="004D0339" w:rsidP="00F130B3">
      <w:pPr>
        <w:snapToGrid w:val="0"/>
        <w:spacing w:beforeLines="50" w:line="300" w:lineRule="auto"/>
        <w:jc w:val="both"/>
        <w:rPr>
          <w:rFonts w:eastAsia="標楷體" w:hint="eastAsia"/>
          <w:i/>
          <w:sz w:val="28"/>
          <w:szCs w:val="28"/>
        </w:rPr>
      </w:pPr>
    </w:p>
    <w:p w:rsidR="00F130B3" w:rsidRPr="00E95B24" w:rsidRDefault="00F130B3" w:rsidP="009C1C6C">
      <w:pPr>
        <w:snapToGrid w:val="0"/>
        <w:spacing w:beforeLines="50" w:line="300" w:lineRule="auto"/>
        <w:jc w:val="right"/>
        <w:rPr>
          <w:rFonts w:eastAsia="標楷體" w:hAnsi="標楷體" w:hint="eastAsia"/>
        </w:rPr>
      </w:pPr>
    </w:p>
    <w:p w:rsidR="004F17A4" w:rsidRPr="00A90B82" w:rsidRDefault="004F17A4" w:rsidP="00A90B82">
      <w:pPr>
        <w:snapToGrid w:val="0"/>
        <w:spacing w:beforeLines="50" w:line="360" w:lineRule="auto"/>
        <w:rPr>
          <w:rFonts w:eastAsia="標楷體"/>
          <w:b/>
          <w:sz w:val="28"/>
          <w:szCs w:val="28"/>
        </w:rPr>
      </w:pPr>
      <w:r w:rsidRPr="00A90B82">
        <w:rPr>
          <w:rFonts w:eastAsia="標楷體" w:hAnsi="標楷體"/>
          <w:b/>
          <w:sz w:val="28"/>
          <w:szCs w:val="28"/>
        </w:rPr>
        <w:t>企業概述</w:t>
      </w:r>
    </w:p>
    <w:p w:rsidR="00F5372B" w:rsidRPr="00F5372B" w:rsidRDefault="00F5372B" w:rsidP="00F5372B">
      <w:pPr>
        <w:pStyle w:val="3"/>
        <w:snapToGrid w:val="0"/>
        <w:spacing w:beforeLines="50" w:line="360" w:lineRule="auto"/>
        <w:ind w:leftChars="0" w:left="0" w:firstLineChars="0" w:firstLine="0"/>
        <w:jc w:val="both"/>
        <w:rPr>
          <w:rFonts w:eastAsia="標楷體"/>
          <w:sz w:val="28"/>
          <w:szCs w:val="28"/>
        </w:rPr>
      </w:pPr>
      <w:r w:rsidRPr="00F5372B">
        <w:rPr>
          <w:rFonts w:eastAsia="標楷體"/>
          <w:sz w:val="28"/>
          <w:szCs w:val="28"/>
        </w:rPr>
        <w:t>1929</w:t>
      </w:r>
      <w:r w:rsidRPr="00F5372B">
        <w:rPr>
          <w:rFonts w:eastAsia="標楷體"/>
          <w:sz w:val="28"/>
          <w:szCs w:val="28"/>
        </w:rPr>
        <w:t>年，英國</w:t>
      </w:r>
      <w:r w:rsidRPr="00F5372B">
        <w:rPr>
          <w:rFonts w:eastAsia="標楷體"/>
          <w:sz w:val="28"/>
          <w:szCs w:val="28"/>
        </w:rPr>
        <w:t>Lever</w:t>
      </w:r>
      <w:r w:rsidRPr="00F5372B">
        <w:rPr>
          <w:rFonts w:eastAsia="標楷體"/>
          <w:sz w:val="28"/>
          <w:szCs w:val="28"/>
        </w:rPr>
        <w:t>公司與荷蘭</w:t>
      </w:r>
      <w:r w:rsidRPr="00F5372B">
        <w:rPr>
          <w:rFonts w:eastAsia="標楷體"/>
          <w:sz w:val="28"/>
          <w:szCs w:val="28"/>
        </w:rPr>
        <w:t xml:space="preserve">Margarine </w:t>
      </w:r>
      <w:proofErr w:type="spellStart"/>
      <w:r w:rsidRPr="00F5372B">
        <w:rPr>
          <w:rFonts w:eastAsia="標楷體"/>
          <w:sz w:val="28"/>
          <w:szCs w:val="28"/>
        </w:rPr>
        <w:t>Unie</w:t>
      </w:r>
      <w:proofErr w:type="spellEnd"/>
      <w:r w:rsidRPr="00F5372B">
        <w:rPr>
          <w:rFonts w:eastAsia="標楷體"/>
          <w:sz w:val="28"/>
          <w:szCs w:val="28"/>
        </w:rPr>
        <w:t>公司簽訂協議，合組聯合利華</w:t>
      </w:r>
      <w:r w:rsidRPr="00F5372B">
        <w:rPr>
          <w:rFonts w:eastAsia="標楷體"/>
          <w:sz w:val="28"/>
          <w:szCs w:val="28"/>
        </w:rPr>
        <w:t>(Unilever)</w:t>
      </w:r>
      <w:r w:rsidRPr="00F5372B">
        <w:rPr>
          <w:rFonts w:eastAsia="標楷體"/>
          <w:sz w:val="28"/>
          <w:szCs w:val="28"/>
        </w:rPr>
        <w:t>公司。經過八十多年的發展，聯合利華公司已經成為了世界上最大的日用消費品公司之一，在全球</w:t>
      </w:r>
      <w:r w:rsidRPr="00F5372B">
        <w:rPr>
          <w:rFonts w:eastAsia="標楷體"/>
          <w:sz w:val="28"/>
          <w:szCs w:val="28"/>
        </w:rPr>
        <w:t>100</w:t>
      </w:r>
      <w:r w:rsidRPr="00F5372B">
        <w:rPr>
          <w:rFonts w:eastAsia="標楷體"/>
          <w:sz w:val="28"/>
          <w:szCs w:val="28"/>
        </w:rPr>
        <w:t>個國家和地區擁有</w:t>
      </w:r>
      <w:r w:rsidRPr="00F5372B">
        <w:rPr>
          <w:rFonts w:eastAsia="標楷體"/>
          <w:sz w:val="28"/>
          <w:szCs w:val="28"/>
        </w:rPr>
        <w:t>167,000</w:t>
      </w:r>
      <w:r w:rsidRPr="00F5372B">
        <w:rPr>
          <w:rFonts w:eastAsia="標楷體"/>
          <w:sz w:val="28"/>
          <w:szCs w:val="28"/>
        </w:rPr>
        <w:t>名雇員。</w:t>
      </w:r>
      <w:r w:rsidRPr="00F5372B">
        <w:rPr>
          <w:rFonts w:eastAsia="標楷體"/>
          <w:sz w:val="28"/>
          <w:szCs w:val="28"/>
        </w:rPr>
        <w:t>2010</w:t>
      </w:r>
      <w:r w:rsidRPr="00F5372B">
        <w:rPr>
          <w:rFonts w:eastAsia="標楷體"/>
          <w:sz w:val="28"/>
          <w:szCs w:val="28"/>
        </w:rPr>
        <w:t>會計年度，聯合利華全年銷售營收較</w:t>
      </w:r>
      <w:r w:rsidRPr="00F5372B">
        <w:rPr>
          <w:rFonts w:eastAsia="標楷體"/>
          <w:sz w:val="28"/>
          <w:szCs w:val="28"/>
        </w:rPr>
        <w:t>2009</w:t>
      </w:r>
      <w:r w:rsidRPr="00F5372B">
        <w:rPr>
          <w:rFonts w:eastAsia="標楷體"/>
          <w:sz w:val="28"/>
          <w:szCs w:val="28"/>
        </w:rPr>
        <w:t>年成長了</w:t>
      </w:r>
      <w:r w:rsidRPr="00F5372B">
        <w:rPr>
          <w:rFonts w:eastAsia="標楷體" w:hint="eastAsia"/>
          <w:sz w:val="28"/>
          <w:szCs w:val="28"/>
        </w:rPr>
        <w:t>11.3%</w:t>
      </w:r>
      <w:r w:rsidRPr="00F5372B">
        <w:rPr>
          <w:rFonts w:eastAsia="標楷體" w:hint="eastAsia"/>
          <w:sz w:val="28"/>
          <w:szCs w:val="28"/>
        </w:rPr>
        <w:t>，達到</w:t>
      </w:r>
      <w:r w:rsidRPr="00F5372B">
        <w:rPr>
          <w:rFonts w:eastAsia="標楷體"/>
          <w:sz w:val="28"/>
          <w:szCs w:val="28"/>
        </w:rPr>
        <w:t>443</w:t>
      </w:r>
      <w:r w:rsidRPr="00F5372B">
        <w:rPr>
          <w:rFonts w:eastAsia="標楷體"/>
          <w:sz w:val="28"/>
          <w:szCs w:val="28"/>
        </w:rPr>
        <w:t>億歐元</w:t>
      </w:r>
      <w:r w:rsidRPr="00F5372B">
        <w:rPr>
          <w:rFonts w:eastAsia="標楷體" w:hint="eastAsia"/>
          <w:sz w:val="28"/>
          <w:szCs w:val="28"/>
        </w:rPr>
        <w:t>，並創造了</w:t>
      </w:r>
      <w:r w:rsidRPr="00F5372B">
        <w:rPr>
          <w:rFonts w:eastAsia="標楷體" w:hint="eastAsia"/>
          <w:sz w:val="28"/>
          <w:szCs w:val="28"/>
        </w:rPr>
        <w:t>46</w:t>
      </w:r>
      <w:r w:rsidRPr="00F5372B">
        <w:rPr>
          <w:rFonts w:eastAsia="標楷體" w:hint="eastAsia"/>
          <w:sz w:val="28"/>
          <w:szCs w:val="28"/>
        </w:rPr>
        <w:t>億歐元的淨利</w:t>
      </w:r>
      <w:r w:rsidRPr="00F5372B">
        <w:rPr>
          <w:rFonts w:eastAsia="標楷體"/>
          <w:sz w:val="28"/>
          <w:szCs w:val="28"/>
        </w:rPr>
        <w:t>。</w:t>
      </w:r>
    </w:p>
    <w:p w:rsidR="00F5372B" w:rsidRPr="00F5372B" w:rsidRDefault="00F5372B" w:rsidP="00F5372B">
      <w:pPr>
        <w:pStyle w:val="3"/>
        <w:snapToGrid w:val="0"/>
        <w:spacing w:beforeLines="50" w:line="360" w:lineRule="auto"/>
        <w:ind w:leftChars="0" w:left="0" w:firstLineChars="0" w:firstLine="0"/>
        <w:jc w:val="both"/>
        <w:rPr>
          <w:rFonts w:eastAsia="標楷體"/>
          <w:sz w:val="28"/>
          <w:szCs w:val="28"/>
        </w:rPr>
      </w:pPr>
      <w:r w:rsidRPr="00F5372B">
        <w:rPr>
          <w:rFonts w:eastAsia="標楷體"/>
          <w:sz w:val="28"/>
          <w:szCs w:val="28"/>
        </w:rPr>
        <w:t>聯合利華提供</w:t>
      </w:r>
      <w:r w:rsidRPr="00F5372B">
        <w:rPr>
          <w:rFonts w:eastAsia="標楷體"/>
          <w:sz w:val="28"/>
          <w:szCs w:val="28"/>
        </w:rPr>
        <w:t>14</w:t>
      </w:r>
      <w:r w:rsidRPr="00F5372B">
        <w:rPr>
          <w:rFonts w:eastAsia="標楷體"/>
          <w:sz w:val="28"/>
          <w:szCs w:val="28"/>
        </w:rPr>
        <w:t>品類的</w:t>
      </w:r>
      <w:r w:rsidRPr="00F5372B">
        <w:rPr>
          <w:rFonts w:eastAsia="標楷體"/>
          <w:sz w:val="28"/>
          <w:szCs w:val="28"/>
        </w:rPr>
        <w:t>400</w:t>
      </w:r>
      <w:r w:rsidRPr="00F5372B">
        <w:rPr>
          <w:rFonts w:eastAsia="標楷體" w:hint="eastAsia"/>
          <w:sz w:val="28"/>
          <w:szCs w:val="28"/>
        </w:rPr>
        <w:t>多</w:t>
      </w:r>
      <w:r w:rsidRPr="00F5372B">
        <w:rPr>
          <w:rFonts w:eastAsia="標楷體"/>
          <w:sz w:val="28"/>
          <w:szCs w:val="28"/>
        </w:rPr>
        <w:t>個品牌行銷全球</w:t>
      </w:r>
      <w:r w:rsidRPr="00F5372B">
        <w:rPr>
          <w:rFonts w:eastAsia="標楷體"/>
          <w:sz w:val="28"/>
          <w:szCs w:val="28"/>
        </w:rPr>
        <w:t>180</w:t>
      </w:r>
      <w:r w:rsidRPr="00F5372B">
        <w:rPr>
          <w:rFonts w:eastAsia="標楷體"/>
          <w:sz w:val="28"/>
          <w:szCs w:val="28"/>
        </w:rPr>
        <w:t>多個國家和地區，</w:t>
      </w:r>
      <w:r w:rsidRPr="00F5372B">
        <w:rPr>
          <w:rFonts w:eastAsia="標楷體" w:hint="eastAsia"/>
          <w:sz w:val="28"/>
          <w:szCs w:val="28"/>
        </w:rPr>
        <w:t>並在全球設立了</w:t>
      </w:r>
      <w:r w:rsidRPr="00F5372B">
        <w:rPr>
          <w:rFonts w:eastAsia="標楷體"/>
          <w:sz w:val="28"/>
          <w:szCs w:val="28"/>
        </w:rPr>
        <w:t>264</w:t>
      </w:r>
      <w:r w:rsidRPr="00F5372B">
        <w:rPr>
          <w:rFonts w:eastAsia="標楷體"/>
          <w:sz w:val="28"/>
          <w:szCs w:val="28"/>
        </w:rPr>
        <w:t>個生產基地</w:t>
      </w:r>
      <w:r w:rsidRPr="00F5372B">
        <w:rPr>
          <w:rFonts w:eastAsia="標楷體" w:hint="eastAsia"/>
          <w:sz w:val="28"/>
          <w:szCs w:val="28"/>
        </w:rPr>
        <w:t>，</w:t>
      </w:r>
      <w:r w:rsidRPr="00F5372B">
        <w:rPr>
          <w:rFonts w:eastAsia="標楷體"/>
          <w:sz w:val="28"/>
          <w:szCs w:val="28"/>
        </w:rPr>
        <w:t>是全球最大的霜淇淋、茶飲料、人造奶油和調味品生產商之一，也是全球最大的洗滌、</w:t>
      </w:r>
      <w:proofErr w:type="gramStart"/>
      <w:r w:rsidRPr="00F5372B">
        <w:rPr>
          <w:rFonts w:eastAsia="標楷體"/>
          <w:sz w:val="28"/>
          <w:szCs w:val="28"/>
        </w:rPr>
        <w:t>潔膚和護髮</w:t>
      </w:r>
      <w:proofErr w:type="gramEnd"/>
      <w:r w:rsidRPr="00F5372B">
        <w:rPr>
          <w:rFonts w:eastAsia="標楷體"/>
          <w:sz w:val="28"/>
          <w:szCs w:val="28"/>
        </w:rPr>
        <w:t>產品生產商之</w:t>
      </w:r>
      <w:proofErr w:type="gramStart"/>
      <w:r w:rsidRPr="00F5372B">
        <w:rPr>
          <w:rFonts w:eastAsia="標楷體"/>
          <w:sz w:val="28"/>
          <w:szCs w:val="28"/>
        </w:rPr>
        <w:t>一</w:t>
      </w:r>
      <w:proofErr w:type="gramEnd"/>
      <w:r w:rsidRPr="00F5372B">
        <w:rPr>
          <w:rFonts w:eastAsia="標楷體"/>
          <w:sz w:val="28"/>
          <w:szCs w:val="28"/>
        </w:rPr>
        <w:t>。</w:t>
      </w:r>
    </w:p>
    <w:p w:rsidR="00F5372B" w:rsidRPr="00F5372B" w:rsidRDefault="00F5372B" w:rsidP="00F5372B">
      <w:pPr>
        <w:pStyle w:val="3"/>
        <w:snapToGrid w:val="0"/>
        <w:spacing w:beforeLines="50" w:line="360" w:lineRule="auto"/>
        <w:ind w:leftChars="0" w:left="0" w:firstLineChars="0" w:firstLine="0"/>
        <w:jc w:val="both"/>
        <w:rPr>
          <w:rFonts w:eastAsia="標楷體"/>
          <w:sz w:val="28"/>
          <w:szCs w:val="28"/>
        </w:rPr>
      </w:pPr>
      <w:r w:rsidRPr="00F5372B">
        <w:rPr>
          <w:rFonts w:eastAsia="標楷體"/>
          <w:sz w:val="28"/>
          <w:szCs w:val="28"/>
        </w:rPr>
        <w:t>每天有</w:t>
      </w:r>
      <w:r w:rsidRPr="00F5372B">
        <w:rPr>
          <w:rFonts w:eastAsia="標楷體"/>
          <w:sz w:val="28"/>
          <w:szCs w:val="28"/>
        </w:rPr>
        <w:t>1.6</w:t>
      </w:r>
      <w:r w:rsidRPr="00F5372B">
        <w:rPr>
          <w:rFonts w:eastAsia="標楷體"/>
          <w:sz w:val="28"/>
          <w:szCs w:val="28"/>
        </w:rPr>
        <w:t>億多人次在世界各地選購聯合利華的產品，</w:t>
      </w:r>
      <w:proofErr w:type="gramStart"/>
      <w:r w:rsidRPr="00F5372B">
        <w:rPr>
          <w:rFonts w:eastAsia="標楷體"/>
          <w:sz w:val="28"/>
          <w:szCs w:val="28"/>
        </w:rPr>
        <w:t>其中</w:t>
      </w:r>
      <w:r w:rsidRPr="00F5372B">
        <w:rPr>
          <w:rFonts w:eastAsia="標楷體" w:hint="eastAsia"/>
          <w:sz w:val="28"/>
          <w:szCs w:val="28"/>
        </w:rPr>
        <w:t>康</w:t>
      </w:r>
      <w:proofErr w:type="gramEnd"/>
      <w:r w:rsidRPr="00F5372B">
        <w:rPr>
          <w:rFonts w:eastAsia="標楷體" w:hint="eastAsia"/>
          <w:sz w:val="28"/>
          <w:szCs w:val="28"/>
        </w:rPr>
        <w:t>寶</w:t>
      </w:r>
      <w:r w:rsidRPr="00F5372B">
        <w:rPr>
          <w:rFonts w:eastAsia="標楷體" w:hint="eastAsia"/>
          <w:sz w:val="28"/>
          <w:szCs w:val="28"/>
        </w:rPr>
        <w:t xml:space="preserve"> (</w:t>
      </w:r>
      <w:proofErr w:type="spellStart"/>
      <w:r w:rsidRPr="00F5372B">
        <w:rPr>
          <w:rFonts w:eastAsia="標楷體" w:hint="eastAsia"/>
          <w:sz w:val="28"/>
          <w:szCs w:val="28"/>
        </w:rPr>
        <w:t>Knorr</w:t>
      </w:r>
      <w:proofErr w:type="spellEnd"/>
      <w:r w:rsidRPr="00F5372B">
        <w:rPr>
          <w:rFonts w:eastAsia="標楷體" w:hint="eastAsia"/>
          <w:sz w:val="28"/>
          <w:szCs w:val="28"/>
        </w:rPr>
        <w:t>)</w:t>
      </w:r>
      <w:r w:rsidRPr="00F5372B">
        <w:rPr>
          <w:rFonts w:eastAsia="標楷體"/>
          <w:sz w:val="28"/>
          <w:szCs w:val="28"/>
        </w:rPr>
        <w:t>、立頓</w:t>
      </w:r>
      <w:r w:rsidRPr="00F5372B">
        <w:rPr>
          <w:rFonts w:eastAsia="標楷體" w:hint="eastAsia"/>
          <w:sz w:val="28"/>
          <w:szCs w:val="28"/>
        </w:rPr>
        <w:t xml:space="preserve"> (Lipton)</w:t>
      </w:r>
      <w:r w:rsidRPr="00F5372B">
        <w:rPr>
          <w:rFonts w:eastAsia="標楷體"/>
          <w:sz w:val="28"/>
          <w:szCs w:val="28"/>
        </w:rPr>
        <w:t>、</w:t>
      </w:r>
      <w:r w:rsidRPr="00F5372B">
        <w:rPr>
          <w:rFonts w:eastAsia="標楷體" w:hint="eastAsia"/>
          <w:sz w:val="28"/>
          <w:szCs w:val="28"/>
        </w:rPr>
        <w:t>麗</w:t>
      </w:r>
      <w:proofErr w:type="gramStart"/>
      <w:r w:rsidRPr="00F5372B">
        <w:rPr>
          <w:rFonts w:eastAsia="標楷體" w:hint="eastAsia"/>
          <w:sz w:val="28"/>
          <w:szCs w:val="28"/>
        </w:rPr>
        <w:t>仕</w:t>
      </w:r>
      <w:proofErr w:type="gramEnd"/>
      <w:r w:rsidRPr="00F5372B">
        <w:rPr>
          <w:rFonts w:eastAsia="標楷體" w:hint="eastAsia"/>
          <w:sz w:val="28"/>
          <w:szCs w:val="28"/>
        </w:rPr>
        <w:t xml:space="preserve"> (</w:t>
      </w:r>
      <w:proofErr w:type="spellStart"/>
      <w:r w:rsidRPr="00F5372B">
        <w:rPr>
          <w:rFonts w:eastAsia="標楷體" w:hint="eastAsia"/>
          <w:sz w:val="28"/>
          <w:szCs w:val="28"/>
        </w:rPr>
        <w:t>Lux</w:t>
      </w:r>
      <w:proofErr w:type="spellEnd"/>
      <w:r w:rsidRPr="00F5372B">
        <w:rPr>
          <w:rFonts w:eastAsia="標楷體" w:hint="eastAsia"/>
          <w:sz w:val="28"/>
          <w:szCs w:val="28"/>
        </w:rPr>
        <w:t>)</w:t>
      </w:r>
      <w:r w:rsidRPr="00F5372B">
        <w:rPr>
          <w:rFonts w:eastAsia="標楷體"/>
          <w:sz w:val="28"/>
          <w:szCs w:val="28"/>
        </w:rPr>
        <w:t>、</w:t>
      </w:r>
      <w:proofErr w:type="gramStart"/>
      <w:r w:rsidRPr="00F5372B">
        <w:rPr>
          <w:rFonts w:eastAsia="標楷體" w:hint="eastAsia"/>
          <w:sz w:val="28"/>
          <w:szCs w:val="28"/>
        </w:rPr>
        <w:t>蕊娜</w:t>
      </w:r>
      <w:proofErr w:type="gramEnd"/>
      <w:r w:rsidRPr="00F5372B">
        <w:rPr>
          <w:rFonts w:eastAsia="標楷體" w:hint="eastAsia"/>
          <w:sz w:val="28"/>
          <w:szCs w:val="28"/>
        </w:rPr>
        <w:t xml:space="preserve"> (</w:t>
      </w:r>
      <w:proofErr w:type="spellStart"/>
      <w:r w:rsidRPr="00F5372B">
        <w:rPr>
          <w:rFonts w:eastAsia="標楷體" w:hint="eastAsia"/>
          <w:sz w:val="28"/>
          <w:szCs w:val="28"/>
        </w:rPr>
        <w:t>Rexona</w:t>
      </w:r>
      <w:proofErr w:type="spellEnd"/>
      <w:r w:rsidRPr="00F5372B">
        <w:rPr>
          <w:rFonts w:eastAsia="標楷體" w:hint="eastAsia"/>
          <w:sz w:val="28"/>
          <w:szCs w:val="28"/>
        </w:rPr>
        <w:t>)</w:t>
      </w:r>
      <w:r w:rsidRPr="00F5372B">
        <w:rPr>
          <w:rFonts w:eastAsia="標楷體" w:hint="eastAsia"/>
          <w:sz w:val="28"/>
          <w:szCs w:val="28"/>
        </w:rPr>
        <w:t>、</w:t>
      </w:r>
      <w:r w:rsidRPr="00F5372B">
        <w:rPr>
          <w:rFonts w:eastAsia="標楷體"/>
          <w:sz w:val="28"/>
          <w:szCs w:val="28"/>
        </w:rPr>
        <w:t>多芬</w:t>
      </w:r>
      <w:r w:rsidRPr="00F5372B">
        <w:rPr>
          <w:rFonts w:eastAsia="標楷體" w:hint="eastAsia"/>
          <w:sz w:val="28"/>
          <w:szCs w:val="28"/>
        </w:rPr>
        <w:t xml:space="preserve"> (Dove)</w:t>
      </w:r>
      <w:r w:rsidRPr="00F5372B">
        <w:rPr>
          <w:rFonts w:eastAsia="標楷體"/>
          <w:sz w:val="28"/>
          <w:szCs w:val="28"/>
        </w:rPr>
        <w:t>等</w:t>
      </w:r>
      <w:r w:rsidRPr="00F5372B">
        <w:rPr>
          <w:rFonts w:eastAsia="標楷體" w:hint="eastAsia"/>
          <w:sz w:val="28"/>
          <w:szCs w:val="28"/>
        </w:rPr>
        <w:t>12</w:t>
      </w:r>
      <w:r w:rsidRPr="00F5372B">
        <w:rPr>
          <w:rFonts w:eastAsia="標楷體" w:hint="eastAsia"/>
          <w:sz w:val="28"/>
          <w:szCs w:val="28"/>
        </w:rPr>
        <w:t>個</w:t>
      </w:r>
      <w:r w:rsidRPr="00F5372B">
        <w:rPr>
          <w:rFonts w:eastAsia="標楷體"/>
          <w:sz w:val="28"/>
          <w:szCs w:val="28"/>
        </w:rPr>
        <w:t>品牌受到各地消費者的信賴，並都成長為銷售額超過</w:t>
      </w:r>
      <w:r w:rsidRPr="00F5372B">
        <w:rPr>
          <w:rFonts w:eastAsia="標楷體"/>
          <w:sz w:val="28"/>
          <w:szCs w:val="28"/>
        </w:rPr>
        <w:t>10</w:t>
      </w:r>
      <w:r w:rsidRPr="00F5372B">
        <w:rPr>
          <w:rFonts w:eastAsia="標楷體"/>
          <w:sz w:val="28"/>
          <w:szCs w:val="28"/>
        </w:rPr>
        <w:t>億歐元</w:t>
      </w:r>
      <w:r w:rsidRPr="00F5372B">
        <w:rPr>
          <w:rFonts w:eastAsia="標楷體" w:hint="eastAsia"/>
          <w:sz w:val="28"/>
          <w:szCs w:val="28"/>
        </w:rPr>
        <w:t>的</w:t>
      </w:r>
      <w:r w:rsidRPr="00F5372B">
        <w:rPr>
          <w:rFonts w:eastAsia="標楷體"/>
          <w:sz w:val="28"/>
          <w:szCs w:val="28"/>
        </w:rPr>
        <w:t>品牌。</w:t>
      </w:r>
    </w:p>
    <w:p w:rsidR="00F5372B" w:rsidRPr="00F5372B" w:rsidRDefault="00F5372B" w:rsidP="00F5372B">
      <w:pPr>
        <w:pStyle w:val="3"/>
        <w:snapToGrid w:val="0"/>
        <w:spacing w:beforeLines="50" w:line="360" w:lineRule="auto"/>
        <w:ind w:leftChars="0" w:left="0" w:firstLineChars="0" w:firstLine="0"/>
        <w:jc w:val="both"/>
        <w:rPr>
          <w:rFonts w:eastAsia="標楷體"/>
          <w:sz w:val="28"/>
          <w:szCs w:val="28"/>
        </w:rPr>
      </w:pPr>
      <w:r w:rsidRPr="00F5372B">
        <w:rPr>
          <w:rFonts w:eastAsia="標楷體"/>
          <w:sz w:val="28"/>
          <w:szCs w:val="28"/>
        </w:rPr>
        <w:t>聯合利華</w:t>
      </w:r>
      <w:r w:rsidRPr="00F5372B">
        <w:rPr>
          <w:rFonts w:eastAsia="標楷體" w:hint="eastAsia"/>
          <w:sz w:val="28"/>
          <w:szCs w:val="28"/>
        </w:rPr>
        <w:t>深信</w:t>
      </w:r>
      <w:r w:rsidRPr="00F5372B">
        <w:rPr>
          <w:rFonts w:eastAsia="標楷體"/>
          <w:sz w:val="28"/>
          <w:szCs w:val="28"/>
        </w:rPr>
        <w:t>成功的企業必須要以負責任的態度對社會產生積極的影響</w:t>
      </w:r>
      <w:r w:rsidRPr="00F5372B">
        <w:rPr>
          <w:rFonts w:eastAsia="標楷體" w:hint="eastAsia"/>
          <w:sz w:val="28"/>
          <w:szCs w:val="28"/>
        </w:rPr>
        <w:t>，</w:t>
      </w:r>
      <w:r w:rsidRPr="00F5372B">
        <w:rPr>
          <w:rFonts w:eastAsia="標楷體"/>
          <w:sz w:val="28"/>
          <w:szCs w:val="28"/>
        </w:rPr>
        <w:t>與社會共同創造財富、分享財富，支援當地經濟發展，為社會培養人才，並積極擔</w:t>
      </w:r>
      <w:r w:rsidRPr="00F5372B">
        <w:rPr>
          <w:rFonts w:eastAsia="標楷體"/>
          <w:sz w:val="28"/>
          <w:szCs w:val="28"/>
        </w:rPr>
        <w:lastRenderedPageBreak/>
        <w:t>負企業社會責任。</w:t>
      </w:r>
      <w:r w:rsidRPr="00F5372B">
        <w:rPr>
          <w:rFonts w:eastAsia="標楷體" w:hint="eastAsia"/>
          <w:sz w:val="28"/>
          <w:szCs w:val="28"/>
        </w:rPr>
        <w:t>聯合利華在企業社會責任的成效卓著，連續</w:t>
      </w:r>
      <w:r w:rsidRPr="00F5372B">
        <w:rPr>
          <w:rFonts w:eastAsia="標楷體" w:hint="eastAsia"/>
          <w:sz w:val="28"/>
          <w:szCs w:val="28"/>
        </w:rPr>
        <w:t>13</w:t>
      </w:r>
      <w:r w:rsidRPr="00F5372B">
        <w:rPr>
          <w:rFonts w:eastAsia="標楷體" w:hint="eastAsia"/>
          <w:sz w:val="28"/>
          <w:szCs w:val="28"/>
        </w:rPr>
        <w:t>年入選</w:t>
      </w:r>
      <w:proofErr w:type="gramStart"/>
      <w:r w:rsidRPr="00F5372B">
        <w:rPr>
          <w:rFonts w:eastAsia="標楷體" w:hint="eastAsia"/>
          <w:sz w:val="28"/>
          <w:szCs w:val="28"/>
        </w:rPr>
        <w:t>道瓊永續</w:t>
      </w:r>
      <w:proofErr w:type="gramEnd"/>
      <w:r w:rsidRPr="00F5372B">
        <w:rPr>
          <w:rFonts w:eastAsia="標楷體" w:hint="eastAsia"/>
          <w:sz w:val="28"/>
          <w:szCs w:val="28"/>
        </w:rPr>
        <w:t>指數</w:t>
      </w:r>
      <w:r w:rsidRPr="00F5372B">
        <w:rPr>
          <w:rFonts w:eastAsia="標楷體" w:hint="eastAsia"/>
          <w:sz w:val="28"/>
          <w:szCs w:val="28"/>
        </w:rPr>
        <w:t>(DJSI)</w:t>
      </w:r>
      <w:r w:rsidRPr="00F5372B">
        <w:rPr>
          <w:rFonts w:eastAsia="標楷體" w:hint="eastAsia"/>
          <w:sz w:val="28"/>
          <w:szCs w:val="28"/>
        </w:rPr>
        <w:t>成份股。</w:t>
      </w:r>
    </w:p>
    <w:p w:rsidR="000441ED" w:rsidRPr="00A90B82" w:rsidRDefault="000441ED" w:rsidP="00A90B82">
      <w:pPr>
        <w:pStyle w:val="3"/>
        <w:snapToGrid w:val="0"/>
        <w:spacing w:beforeLines="50" w:line="360" w:lineRule="auto"/>
        <w:ind w:leftChars="0" w:left="0" w:firstLineChars="0" w:firstLine="0"/>
        <w:jc w:val="both"/>
        <w:rPr>
          <w:rFonts w:eastAsia="標楷體" w:hint="eastAsia"/>
          <w:sz w:val="28"/>
          <w:szCs w:val="28"/>
        </w:rPr>
      </w:pPr>
    </w:p>
    <w:p w:rsidR="00A352E3" w:rsidRPr="00A90B82" w:rsidRDefault="00A352E3" w:rsidP="00A90B82">
      <w:pPr>
        <w:snapToGrid w:val="0"/>
        <w:spacing w:beforeLines="50" w:line="360" w:lineRule="auto"/>
        <w:rPr>
          <w:rFonts w:eastAsia="標楷體" w:hint="eastAsia"/>
          <w:b/>
          <w:sz w:val="28"/>
          <w:szCs w:val="28"/>
        </w:rPr>
      </w:pPr>
      <w:r w:rsidRPr="00A90B82">
        <w:rPr>
          <w:rFonts w:eastAsia="標楷體" w:hint="eastAsia"/>
          <w:b/>
          <w:sz w:val="28"/>
          <w:szCs w:val="28"/>
        </w:rPr>
        <w:t>案例描述</w:t>
      </w:r>
    </w:p>
    <w:p w:rsidR="004D0339" w:rsidRPr="004D0339" w:rsidRDefault="004D0339" w:rsidP="004D0339">
      <w:pPr>
        <w:pStyle w:val="3"/>
        <w:snapToGrid w:val="0"/>
        <w:spacing w:beforeLines="50" w:line="360" w:lineRule="auto"/>
        <w:ind w:leftChars="0" w:left="0" w:firstLineChars="0" w:firstLine="0"/>
        <w:jc w:val="both"/>
        <w:rPr>
          <w:rFonts w:eastAsia="標楷體"/>
          <w:sz w:val="28"/>
          <w:szCs w:val="28"/>
          <w:u w:val="single"/>
        </w:rPr>
      </w:pPr>
      <w:r w:rsidRPr="004D0339">
        <w:rPr>
          <w:rFonts w:eastAsia="標楷體" w:hint="eastAsia"/>
          <w:sz w:val="28"/>
          <w:szCs w:val="28"/>
          <w:u w:val="single"/>
        </w:rPr>
        <w:t>發展與供應商成功的關係</w:t>
      </w:r>
    </w:p>
    <w:p w:rsidR="004D0339" w:rsidRPr="004D0339" w:rsidRDefault="004D0339" w:rsidP="004D0339">
      <w:pPr>
        <w:pStyle w:val="3"/>
        <w:snapToGrid w:val="0"/>
        <w:spacing w:beforeLines="50" w:line="360" w:lineRule="auto"/>
        <w:ind w:leftChars="0" w:left="0" w:firstLineChars="0" w:firstLine="0"/>
        <w:jc w:val="both"/>
        <w:rPr>
          <w:rFonts w:eastAsia="標楷體"/>
          <w:sz w:val="28"/>
          <w:szCs w:val="28"/>
        </w:rPr>
      </w:pPr>
      <w:r w:rsidRPr="004D0339">
        <w:rPr>
          <w:rFonts w:eastAsia="標楷體" w:hint="eastAsia"/>
          <w:sz w:val="28"/>
          <w:szCs w:val="28"/>
        </w:rPr>
        <w:t>聯合利華於</w:t>
      </w:r>
      <w:r w:rsidRPr="004D0339">
        <w:rPr>
          <w:rFonts w:eastAsia="標楷體" w:hint="eastAsia"/>
          <w:sz w:val="28"/>
          <w:szCs w:val="28"/>
        </w:rPr>
        <w:t>2010</w:t>
      </w:r>
      <w:r w:rsidRPr="004D0339">
        <w:rPr>
          <w:rFonts w:eastAsia="標楷體" w:hint="eastAsia"/>
          <w:sz w:val="28"/>
          <w:szCs w:val="28"/>
        </w:rPr>
        <w:t>年</w:t>
      </w:r>
      <w:r w:rsidRPr="004D0339">
        <w:rPr>
          <w:rFonts w:eastAsia="標楷體" w:hint="eastAsia"/>
          <w:sz w:val="28"/>
          <w:szCs w:val="28"/>
        </w:rPr>
        <w:t>11</w:t>
      </w:r>
      <w:r w:rsidRPr="004D0339">
        <w:rPr>
          <w:rFonts w:eastAsia="標楷體" w:hint="eastAsia"/>
          <w:sz w:val="28"/>
          <w:szCs w:val="28"/>
        </w:rPr>
        <w:t>月發布了「聯合利華永續生活計畫」，計畫中在</w:t>
      </w:r>
      <w:r w:rsidRPr="004D0339">
        <w:rPr>
          <w:rFonts w:eastAsia="標楷體" w:hint="eastAsia"/>
          <w:sz w:val="28"/>
          <w:szCs w:val="28"/>
        </w:rPr>
        <w:t>2020</w:t>
      </w:r>
      <w:r w:rsidRPr="004D0339">
        <w:rPr>
          <w:rFonts w:eastAsia="標楷體" w:hint="eastAsia"/>
          <w:sz w:val="28"/>
          <w:szCs w:val="28"/>
        </w:rPr>
        <w:t>年前要將達成所有農產原物料符合永續性要素，並與供應商維持良好關係，共同達成這個目標。</w:t>
      </w:r>
    </w:p>
    <w:p w:rsidR="004D0339" w:rsidRPr="004D0339" w:rsidRDefault="004D0339" w:rsidP="004D0339">
      <w:pPr>
        <w:pStyle w:val="3"/>
        <w:snapToGrid w:val="0"/>
        <w:spacing w:beforeLines="50" w:line="360" w:lineRule="auto"/>
        <w:ind w:leftChars="0" w:left="0" w:firstLineChars="0" w:firstLine="0"/>
        <w:jc w:val="both"/>
        <w:rPr>
          <w:rFonts w:eastAsia="標楷體"/>
          <w:sz w:val="28"/>
          <w:szCs w:val="28"/>
        </w:rPr>
      </w:pPr>
      <w:r w:rsidRPr="004D0339">
        <w:rPr>
          <w:rFonts w:eastAsia="標楷體" w:hint="eastAsia"/>
          <w:sz w:val="28"/>
          <w:szCs w:val="28"/>
        </w:rPr>
        <w:t>為了讓「聯合利華永續生活計畫」的目標可以達成，聯合利華導入了相關計畫來調整營運作法。透過聯合利華商業原則規範</w:t>
      </w:r>
      <w:r w:rsidRPr="004D0339">
        <w:rPr>
          <w:rFonts w:eastAsia="標楷體" w:hint="eastAsia"/>
          <w:sz w:val="28"/>
          <w:szCs w:val="28"/>
        </w:rPr>
        <w:t>(</w:t>
      </w:r>
      <w:r w:rsidRPr="004D0339">
        <w:rPr>
          <w:rFonts w:eastAsia="標楷體"/>
          <w:sz w:val="28"/>
          <w:szCs w:val="28"/>
        </w:rPr>
        <w:t>Unilever Code of Business Principles</w:t>
      </w:r>
      <w:r w:rsidRPr="004D0339">
        <w:rPr>
          <w:rFonts w:eastAsia="標楷體" w:hint="eastAsia"/>
          <w:sz w:val="28"/>
          <w:szCs w:val="28"/>
        </w:rPr>
        <w:t>)</w:t>
      </w:r>
      <w:r w:rsidRPr="004D0339">
        <w:rPr>
          <w:rFonts w:eastAsia="標楷體" w:hint="eastAsia"/>
          <w:sz w:val="28"/>
          <w:szCs w:val="28"/>
        </w:rPr>
        <w:t>，聯合利華為內部的永續發展實踐，設定很高的標準，並需要商業夥伴一起遵行這些商業原則。</w:t>
      </w:r>
    </w:p>
    <w:p w:rsidR="004D0339" w:rsidRDefault="004D0339" w:rsidP="004D0339">
      <w:pPr>
        <w:pStyle w:val="3"/>
        <w:snapToGrid w:val="0"/>
        <w:spacing w:beforeLines="50" w:line="360" w:lineRule="auto"/>
        <w:ind w:leftChars="0" w:left="0" w:firstLineChars="0" w:firstLine="0"/>
        <w:jc w:val="both"/>
        <w:rPr>
          <w:rFonts w:eastAsia="標楷體" w:hint="eastAsia"/>
          <w:sz w:val="28"/>
          <w:szCs w:val="28"/>
        </w:rPr>
      </w:pPr>
      <w:r w:rsidRPr="004D0339">
        <w:rPr>
          <w:rFonts w:eastAsia="標楷體" w:hint="eastAsia"/>
          <w:sz w:val="28"/>
          <w:szCs w:val="28"/>
        </w:rPr>
        <w:t>最低限度，聯合利華鼓勵並支持供應商夥伴贊同聯合利華的供應商規範，並嘗試確保聯合利華全球的供應商的行為能符合這個規範內容，而這將會是</w:t>
      </w:r>
      <w:proofErr w:type="gramStart"/>
      <w:r w:rsidRPr="004D0339">
        <w:rPr>
          <w:rFonts w:eastAsia="標楷體" w:hint="eastAsia"/>
          <w:sz w:val="28"/>
          <w:szCs w:val="28"/>
        </w:rPr>
        <w:t>形塑永續</w:t>
      </w:r>
      <w:proofErr w:type="gramEnd"/>
      <w:r w:rsidRPr="004D0339">
        <w:rPr>
          <w:rFonts w:eastAsia="標楷體" w:hint="eastAsia"/>
          <w:sz w:val="28"/>
          <w:szCs w:val="28"/>
        </w:rPr>
        <w:t>價值鏈的重要基礎。</w:t>
      </w:r>
    </w:p>
    <w:p w:rsidR="004D0339" w:rsidRPr="004D0339" w:rsidRDefault="004D0339" w:rsidP="004D0339">
      <w:pPr>
        <w:pStyle w:val="3"/>
        <w:snapToGrid w:val="0"/>
        <w:spacing w:beforeLines="50" w:line="360" w:lineRule="auto"/>
        <w:ind w:leftChars="0" w:left="0" w:firstLineChars="0" w:firstLine="0"/>
        <w:jc w:val="both"/>
        <w:rPr>
          <w:rFonts w:eastAsia="標楷體"/>
          <w:sz w:val="28"/>
          <w:szCs w:val="28"/>
        </w:rPr>
      </w:pPr>
    </w:p>
    <w:p w:rsidR="004D0339" w:rsidRPr="004D0339" w:rsidRDefault="004D0339" w:rsidP="004D0339">
      <w:pPr>
        <w:pStyle w:val="3"/>
        <w:snapToGrid w:val="0"/>
        <w:spacing w:beforeLines="50" w:line="360" w:lineRule="auto"/>
        <w:ind w:leftChars="0" w:left="0" w:firstLineChars="0" w:firstLine="0"/>
        <w:jc w:val="both"/>
        <w:rPr>
          <w:rFonts w:eastAsia="標楷體"/>
          <w:sz w:val="28"/>
          <w:szCs w:val="28"/>
          <w:u w:val="single"/>
        </w:rPr>
      </w:pPr>
      <w:r w:rsidRPr="004D0339">
        <w:rPr>
          <w:rFonts w:eastAsia="標楷體" w:hint="eastAsia"/>
          <w:sz w:val="28"/>
          <w:szCs w:val="28"/>
          <w:u w:val="single"/>
        </w:rPr>
        <w:t>供應商規範</w:t>
      </w:r>
    </w:p>
    <w:p w:rsidR="004D0339" w:rsidRPr="004D0339" w:rsidRDefault="004D0339" w:rsidP="004D0339">
      <w:pPr>
        <w:pStyle w:val="3"/>
        <w:snapToGrid w:val="0"/>
        <w:spacing w:beforeLines="50" w:line="360" w:lineRule="auto"/>
        <w:ind w:leftChars="0" w:left="0" w:firstLineChars="0" w:firstLine="0"/>
        <w:jc w:val="both"/>
        <w:rPr>
          <w:rFonts w:eastAsia="標楷體"/>
          <w:sz w:val="28"/>
          <w:szCs w:val="28"/>
        </w:rPr>
      </w:pPr>
      <w:r w:rsidRPr="004D0339">
        <w:rPr>
          <w:rFonts w:eastAsia="標楷體" w:hint="eastAsia"/>
          <w:sz w:val="28"/>
          <w:szCs w:val="28"/>
        </w:rPr>
        <w:t>2010</w:t>
      </w:r>
      <w:r w:rsidRPr="004D0339">
        <w:rPr>
          <w:rFonts w:eastAsia="標楷體" w:hint="eastAsia"/>
          <w:sz w:val="28"/>
          <w:szCs w:val="28"/>
        </w:rPr>
        <w:t>年</w:t>
      </w:r>
      <w:r w:rsidRPr="004D0339">
        <w:rPr>
          <w:rFonts w:eastAsia="標楷體" w:hint="eastAsia"/>
          <w:sz w:val="28"/>
          <w:szCs w:val="28"/>
        </w:rPr>
        <w:t>10</w:t>
      </w:r>
      <w:r w:rsidRPr="004D0339">
        <w:rPr>
          <w:rFonts w:eastAsia="標楷體" w:hint="eastAsia"/>
          <w:sz w:val="28"/>
          <w:szCs w:val="28"/>
        </w:rPr>
        <w:t>月，聯合利華修訂並發布了新的聯合利華供應商規範</w:t>
      </w:r>
      <w:r w:rsidRPr="004D0339">
        <w:rPr>
          <w:rFonts w:eastAsia="標楷體" w:hint="eastAsia"/>
          <w:sz w:val="28"/>
          <w:szCs w:val="28"/>
        </w:rPr>
        <w:t>(</w:t>
      </w:r>
      <w:r w:rsidRPr="004D0339">
        <w:rPr>
          <w:rFonts w:eastAsia="標楷體"/>
          <w:sz w:val="28"/>
          <w:szCs w:val="28"/>
        </w:rPr>
        <w:t>Unilever's Supplier Code</w:t>
      </w:r>
      <w:r w:rsidRPr="004D0339">
        <w:rPr>
          <w:rFonts w:eastAsia="標楷體" w:hint="eastAsia"/>
          <w:sz w:val="28"/>
          <w:szCs w:val="28"/>
        </w:rPr>
        <w:t>)</w:t>
      </w:r>
      <w:r w:rsidRPr="004D0339">
        <w:rPr>
          <w:rFonts w:eastAsia="標楷體" w:hint="eastAsia"/>
          <w:sz w:val="28"/>
          <w:szCs w:val="28"/>
        </w:rPr>
        <w:t>，</w:t>
      </w:r>
      <w:proofErr w:type="gramStart"/>
      <w:r w:rsidRPr="004D0339">
        <w:rPr>
          <w:rFonts w:eastAsia="標楷體" w:hint="eastAsia"/>
          <w:sz w:val="28"/>
          <w:szCs w:val="28"/>
        </w:rPr>
        <w:t>承接著</w:t>
      </w:r>
      <w:proofErr w:type="gramEnd"/>
      <w:r w:rsidRPr="004D0339">
        <w:rPr>
          <w:rFonts w:eastAsia="標楷體" w:hint="eastAsia"/>
          <w:sz w:val="28"/>
          <w:szCs w:val="28"/>
        </w:rPr>
        <w:t>聯合利華商業原則規範，融合了各地法律與國際認可的標準，聯合利華的供應商規範著重在四個領域；職場健康與安全、商業倫理、勞動標準、消費者安全與環境。</w:t>
      </w:r>
    </w:p>
    <w:p w:rsidR="004D0339" w:rsidRPr="004D0339" w:rsidRDefault="004D0339" w:rsidP="004D0339">
      <w:pPr>
        <w:pStyle w:val="3"/>
        <w:snapToGrid w:val="0"/>
        <w:spacing w:beforeLines="50" w:line="360" w:lineRule="auto"/>
        <w:ind w:leftChars="0" w:left="0" w:firstLineChars="0" w:firstLine="0"/>
        <w:jc w:val="both"/>
        <w:rPr>
          <w:rFonts w:eastAsia="標楷體" w:hint="eastAsia"/>
          <w:sz w:val="28"/>
          <w:szCs w:val="28"/>
          <w:u w:val="single"/>
        </w:rPr>
      </w:pPr>
      <w:r w:rsidRPr="004D0339">
        <w:rPr>
          <w:rFonts w:eastAsia="標楷體" w:hint="eastAsia"/>
          <w:sz w:val="28"/>
          <w:szCs w:val="28"/>
          <w:u w:val="single"/>
        </w:rPr>
        <w:t>確保供應商符合規範內容</w:t>
      </w:r>
    </w:p>
    <w:p w:rsidR="004D0339" w:rsidRPr="004D0339" w:rsidRDefault="004D0339" w:rsidP="004D0339">
      <w:pPr>
        <w:pStyle w:val="3"/>
        <w:snapToGrid w:val="0"/>
        <w:spacing w:beforeLines="50" w:line="360" w:lineRule="auto"/>
        <w:ind w:leftChars="0" w:left="0" w:firstLineChars="0" w:firstLine="0"/>
        <w:jc w:val="both"/>
        <w:rPr>
          <w:rFonts w:eastAsia="標楷體" w:hint="eastAsia"/>
          <w:sz w:val="28"/>
          <w:szCs w:val="28"/>
        </w:rPr>
      </w:pPr>
      <w:r w:rsidRPr="004D0339">
        <w:rPr>
          <w:rFonts w:eastAsia="標楷體" w:hint="eastAsia"/>
          <w:sz w:val="28"/>
          <w:szCs w:val="28"/>
        </w:rPr>
        <w:t>聯合利華向直接供應商來宣導供應商規範，並要求供應商建置適當管理系統來</w:t>
      </w:r>
      <w:r w:rsidRPr="004D0339">
        <w:rPr>
          <w:rFonts w:eastAsia="標楷體" w:hint="eastAsia"/>
          <w:sz w:val="28"/>
          <w:szCs w:val="28"/>
        </w:rPr>
        <w:lastRenderedPageBreak/>
        <w:t>確保符合規範內容。聯合利華有時會</w:t>
      </w:r>
      <w:proofErr w:type="gramStart"/>
      <w:r w:rsidRPr="004D0339">
        <w:rPr>
          <w:rFonts w:eastAsia="標楷體" w:hint="eastAsia"/>
          <w:sz w:val="28"/>
          <w:szCs w:val="28"/>
        </w:rPr>
        <w:t>採</w:t>
      </w:r>
      <w:proofErr w:type="gramEnd"/>
      <w:r w:rsidRPr="004D0339">
        <w:rPr>
          <w:rFonts w:eastAsia="標楷體" w:hint="eastAsia"/>
          <w:sz w:val="28"/>
          <w:szCs w:val="28"/>
        </w:rPr>
        <w:t>行供應商自評，或至現場進行稽核，來確認供應商營運行為有符合規範上的要求。如果營運行為不符合，聯合利華將與供應商協議來執行某些必要行動，以達成符合規範要求的目標。</w:t>
      </w:r>
    </w:p>
    <w:p w:rsidR="004D0339" w:rsidRPr="004D0339" w:rsidRDefault="004D0339" w:rsidP="004D0339">
      <w:pPr>
        <w:pStyle w:val="3"/>
        <w:snapToGrid w:val="0"/>
        <w:spacing w:beforeLines="50" w:line="360" w:lineRule="auto"/>
        <w:ind w:leftChars="0" w:left="0" w:firstLineChars="0" w:firstLine="0"/>
        <w:jc w:val="both"/>
        <w:rPr>
          <w:rFonts w:eastAsia="標楷體" w:hint="eastAsia"/>
          <w:sz w:val="28"/>
          <w:szCs w:val="28"/>
        </w:rPr>
      </w:pPr>
      <w:r w:rsidRPr="004D0339">
        <w:rPr>
          <w:rFonts w:eastAsia="標楷體" w:hint="eastAsia"/>
          <w:sz w:val="28"/>
          <w:szCs w:val="28"/>
        </w:rPr>
        <w:t>這樣的作法是一個持續性的過程，聯合利華盡可能地與供應商發展緊密的合作關係，除非合作關係終止，或一直無法符合規範要求，才會停止與供應商的業務往來。</w:t>
      </w:r>
    </w:p>
    <w:p w:rsidR="004D0339" w:rsidRPr="004D0339" w:rsidRDefault="004D0339" w:rsidP="004D0339">
      <w:pPr>
        <w:pStyle w:val="3"/>
        <w:snapToGrid w:val="0"/>
        <w:spacing w:beforeLines="50" w:line="360" w:lineRule="auto"/>
        <w:ind w:leftChars="0" w:left="0" w:firstLineChars="0" w:firstLine="0"/>
        <w:jc w:val="both"/>
        <w:rPr>
          <w:rFonts w:eastAsia="標楷體"/>
          <w:sz w:val="28"/>
          <w:szCs w:val="28"/>
        </w:rPr>
      </w:pPr>
      <w:r w:rsidRPr="004D0339">
        <w:rPr>
          <w:rFonts w:eastAsia="標楷體" w:hint="eastAsia"/>
          <w:sz w:val="28"/>
          <w:szCs w:val="28"/>
        </w:rPr>
        <w:t>聯合利華與產業同儕合作，使用</w:t>
      </w:r>
      <w:r>
        <w:rPr>
          <w:rFonts w:eastAsia="標楷體" w:hint="eastAsia"/>
          <w:sz w:val="28"/>
          <w:szCs w:val="28"/>
        </w:rPr>
        <w:t>一</w:t>
      </w:r>
      <w:r w:rsidRPr="004D0339">
        <w:rPr>
          <w:rFonts w:eastAsia="標楷體" w:hint="eastAsia"/>
          <w:sz w:val="28"/>
          <w:szCs w:val="28"/>
        </w:rPr>
        <w:t>個產業公認的「</w:t>
      </w:r>
      <w:r w:rsidRPr="004D0339">
        <w:rPr>
          <w:rFonts w:eastAsia="標楷體"/>
          <w:sz w:val="28"/>
          <w:szCs w:val="28"/>
        </w:rPr>
        <w:t>供應商道德資料交換</w:t>
      </w:r>
      <w:r w:rsidRPr="004D0339">
        <w:rPr>
          <w:rFonts w:eastAsia="標楷體" w:hint="eastAsia"/>
          <w:sz w:val="28"/>
          <w:szCs w:val="28"/>
        </w:rPr>
        <w:t>」</w:t>
      </w:r>
      <w:r w:rsidRPr="004D0339">
        <w:rPr>
          <w:rFonts w:eastAsia="標楷體"/>
          <w:sz w:val="28"/>
          <w:szCs w:val="28"/>
        </w:rPr>
        <w:t xml:space="preserve"> (Suppliers Ethical Data Exchange, SEDEX)</w:t>
      </w:r>
      <w:r w:rsidRPr="004D0339">
        <w:rPr>
          <w:rFonts w:eastAsia="標楷體" w:hint="eastAsia"/>
          <w:sz w:val="28"/>
          <w:szCs w:val="28"/>
        </w:rPr>
        <w:t>平台。由於原則共同認可，供應商提供一份資料，就可以供不同客戶使用來進行相關供應商的評估。也可以節省供應商因應不同客戶要求所衍生的成本。</w:t>
      </w:r>
    </w:p>
    <w:p w:rsidR="00F5372B" w:rsidRPr="00F5372B" w:rsidRDefault="00F5372B" w:rsidP="00A90B82">
      <w:pPr>
        <w:pStyle w:val="3"/>
        <w:snapToGrid w:val="0"/>
        <w:spacing w:beforeLines="50" w:line="360" w:lineRule="auto"/>
        <w:ind w:leftChars="0" w:left="0" w:firstLineChars="0" w:firstLine="0"/>
        <w:jc w:val="both"/>
        <w:rPr>
          <w:rFonts w:eastAsia="標楷體" w:hint="eastAsia"/>
          <w:sz w:val="28"/>
          <w:szCs w:val="28"/>
          <w:lang/>
        </w:rPr>
      </w:pPr>
    </w:p>
    <w:sectPr w:rsidR="00F5372B" w:rsidRPr="00F5372B" w:rsidSect="00A90B82">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15" w:rsidRDefault="00AE6C15">
      <w:r>
        <w:separator/>
      </w:r>
    </w:p>
  </w:endnote>
  <w:endnote w:type="continuationSeparator" w:id="0">
    <w:p w:rsidR="00AE6C15" w:rsidRDefault="00AE6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rajan Pro">
    <w:panose1 w:val="00000000000000000000"/>
    <w:charset w:val="00"/>
    <w:family w:val="roman"/>
    <w:notTrueType/>
    <w:pitch w:val="variable"/>
    <w:sig w:usb0="00000007" w:usb1="00000000" w:usb2="00000000" w:usb3="00000000" w:csb0="00000093"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15" w:rsidRDefault="00AE6C15">
      <w:r>
        <w:separator/>
      </w:r>
    </w:p>
  </w:footnote>
  <w:footnote w:type="continuationSeparator" w:id="0">
    <w:p w:rsidR="00AE6C15" w:rsidRDefault="00AE6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930"/>
    <w:multiLevelType w:val="multilevel"/>
    <w:tmpl w:val="935C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05D73"/>
    <w:multiLevelType w:val="multilevel"/>
    <w:tmpl w:val="AD5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927C9"/>
    <w:multiLevelType w:val="multilevel"/>
    <w:tmpl w:val="F974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D5259"/>
    <w:multiLevelType w:val="multilevel"/>
    <w:tmpl w:val="DCFC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80327"/>
    <w:multiLevelType w:val="multilevel"/>
    <w:tmpl w:val="2EEC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105FE"/>
    <w:multiLevelType w:val="multilevel"/>
    <w:tmpl w:val="41D2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761F7C"/>
    <w:multiLevelType w:val="multilevel"/>
    <w:tmpl w:val="1C4A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13CD0"/>
    <w:multiLevelType w:val="multilevel"/>
    <w:tmpl w:val="7598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B360A"/>
    <w:multiLevelType w:val="multilevel"/>
    <w:tmpl w:val="A624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F7772"/>
    <w:multiLevelType w:val="multilevel"/>
    <w:tmpl w:val="5042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426E54"/>
    <w:multiLevelType w:val="multilevel"/>
    <w:tmpl w:val="A21A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76CAE"/>
    <w:multiLevelType w:val="multilevel"/>
    <w:tmpl w:val="49F4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864D16"/>
    <w:multiLevelType w:val="multilevel"/>
    <w:tmpl w:val="2C6C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71C0D"/>
    <w:multiLevelType w:val="multilevel"/>
    <w:tmpl w:val="B0B6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5301FC"/>
    <w:multiLevelType w:val="multilevel"/>
    <w:tmpl w:val="B584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C4D07"/>
    <w:multiLevelType w:val="multilevel"/>
    <w:tmpl w:val="B834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E02B2D"/>
    <w:multiLevelType w:val="multilevel"/>
    <w:tmpl w:val="339C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B2AF1"/>
    <w:multiLevelType w:val="multilevel"/>
    <w:tmpl w:val="53DC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E04DA"/>
    <w:multiLevelType w:val="multilevel"/>
    <w:tmpl w:val="7F74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423F63"/>
    <w:multiLevelType w:val="multilevel"/>
    <w:tmpl w:val="17DE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531726"/>
    <w:multiLevelType w:val="multilevel"/>
    <w:tmpl w:val="916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A581D"/>
    <w:multiLevelType w:val="hybridMultilevel"/>
    <w:tmpl w:val="2E0A839C"/>
    <w:lvl w:ilvl="0" w:tplc="CF9E713A">
      <w:start w:val="5"/>
      <w:numFmt w:val="bullet"/>
      <w:lvlText w:val=""/>
      <w:lvlJc w:val="left"/>
      <w:pPr>
        <w:tabs>
          <w:tab w:val="num" w:pos="840"/>
        </w:tabs>
        <w:ind w:left="840" w:hanging="360"/>
      </w:pPr>
      <w:rPr>
        <w:rFonts w:ascii="Wingdings" w:eastAsia="新細明體" w:hAnsi="Wingdings" w:cs="Trajan Pro"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E067D8D"/>
    <w:multiLevelType w:val="multilevel"/>
    <w:tmpl w:val="D856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B665D4"/>
    <w:multiLevelType w:val="multilevel"/>
    <w:tmpl w:val="8C0C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D1D7C"/>
    <w:multiLevelType w:val="multilevel"/>
    <w:tmpl w:val="B3EE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655BA"/>
    <w:multiLevelType w:val="multilevel"/>
    <w:tmpl w:val="059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CD1C0C"/>
    <w:multiLevelType w:val="multilevel"/>
    <w:tmpl w:val="5D32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C41480"/>
    <w:multiLevelType w:val="multilevel"/>
    <w:tmpl w:val="3EBE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FE5753"/>
    <w:multiLevelType w:val="multilevel"/>
    <w:tmpl w:val="AE9A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956A85"/>
    <w:multiLevelType w:val="multilevel"/>
    <w:tmpl w:val="74C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DE76FA"/>
    <w:multiLevelType w:val="multilevel"/>
    <w:tmpl w:val="3E8C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EA32B7"/>
    <w:multiLevelType w:val="multilevel"/>
    <w:tmpl w:val="BD5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B03542"/>
    <w:multiLevelType w:val="multilevel"/>
    <w:tmpl w:val="D4D2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8062BA"/>
    <w:multiLevelType w:val="multilevel"/>
    <w:tmpl w:val="841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7"/>
  </w:num>
  <w:num w:numId="4">
    <w:abstractNumId w:val="12"/>
  </w:num>
  <w:num w:numId="5">
    <w:abstractNumId w:val="31"/>
  </w:num>
  <w:num w:numId="6">
    <w:abstractNumId w:val="26"/>
  </w:num>
  <w:num w:numId="7">
    <w:abstractNumId w:val="23"/>
  </w:num>
  <w:num w:numId="8">
    <w:abstractNumId w:val="22"/>
  </w:num>
  <w:num w:numId="9">
    <w:abstractNumId w:val="20"/>
  </w:num>
  <w:num w:numId="10">
    <w:abstractNumId w:val="28"/>
  </w:num>
  <w:num w:numId="11">
    <w:abstractNumId w:val="7"/>
  </w:num>
  <w:num w:numId="12">
    <w:abstractNumId w:val="16"/>
  </w:num>
  <w:num w:numId="13">
    <w:abstractNumId w:val="4"/>
  </w:num>
  <w:num w:numId="14">
    <w:abstractNumId w:val="25"/>
  </w:num>
  <w:num w:numId="15">
    <w:abstractNumId w:val="32"/>
  </w:num>
  <w:num w:numId="16">
    <w:abstractNumId w:val="33"/>
  </w:num>
  <w:num w:numId="17">
    <w:abstractNumId w:val="10"/>
  </w:num>
  <w:num w:numId="18">
    <w:abstractNumId w:val="9"/>
  </w:num>
  <w:num w:numId="19">
    <w:abstractNumId w:val="27"/>
  </w:num>
  <w:num w:numId="20">
    <w:abstractNumId w:val="8"/>
  </w:num>
  <w:num w:numId="21">
    <w:abstractNumId w:val="3"/>
  </w:num>
  <w:num w:numId="22">
    <w:abstractNumId w:val="13"/>
  </w:num>
  <w:num w:numId="23">
    <w:abstractNumId w:val="2"/>
  </w:num>
  <w:num w:numId="24">
    <w:abstractNumId w:val="24"/>
  </w:num>
  <w:num w:numId="25">
    <w:abstractNumId w:val="0"/>
  </w:num>
  <w:num w:numId="26">
    <w:abstractNumId w:val="30"/>
  </w:num>
  <w:num w:numId="27">
    <w:abstractNumId w:val="5"/>
  </w:num>
  <w:num w:numId="28">
    <w:abstractNumId w:val="29"/>
  </w:num>
  <w:num w:numId="29">
    <w:abstractNumId w:val="1"/>
  </w:num>
  <w:num w:numId="30">
    <w:abstractNumId w:val="15"/>
  </w:num>
  <w:num w:numId="31">
    <w:abstractNumId w:val="21"/>
  </w:num>
  <w:num w:numId="32">
    <w:abstractNumId w:val="14"/>
  </w:num>
  <w:num w:numId="33">
    <w:abstractNumId w:val="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7A4"/>
    <w:rsid w:val="000027CB"/>
    <w:rsid w:val="0001576C"/>
    <w:rsid w:val="00035766"/>
    <w:rsid w:val="00041277"/>
    <w:rsid w:val="000441ED"/>
    <w:rsid w:val="00123102"/>
    <w:rsid w:val="00177C2A"/>
    <w:rsid w:val="001E0258"/>
    <w:rsid w:val="0021264A"/>
    <w:rsid w:val="00215149"/>
    <w:rsid w:val="0021631D"/>
    <w:rsid w:val="0022355B"/>
    <w:rsid w:val="00310558"/>
    <w:rsid w:val="003E1D05"/>
    <w:rsid w:val="00402B72"/>
    <w:rsid w:val="004066DF"/>
    <w:rsid w:val="00462C21"/>
    <w:rsid w:val="0048184F"/>
    <w:rsid w:val="004923ED"/>
    <w:rsid w:val="004A1094"/>
    <w:rsid w:val="004C2207"/>
    <w:rsid w:val="004C3210"/>
    <w:rsid w:val="004D0339"/>
    <w:rsid w:val="004D4D57"/>
    <w:rsid w:val="004F17A4"/>
    <w:rsid w:val="0050274A"/>
    <w:rsid w:val="00522BCF"/>
    <w:rsid w:val="0053416E"/>
    <w:rsid w:val="00551B3A"/>
    <w:rsid w:val="005604B0"/>
    <w:rsid w:val="00571513"/>
    <w:rsid w:val="005738AC"/>
    <w:rsid w:val="00586B25"/>
    <w:rsid w:val="005A2B38"/>
    <w:rsid w:val="00637202"/>
    <w:rsid w:val="00674D41"/>
    <w:rsid w:val="006A1D3C"/>
    <w:rsid w:val="006B5521"/>
    <w:rsid w:val="006D11A2"/>
    <w:rsid w:val="007016FA"/>
    <w:rsid w:val="00747BFA"/>
    <w:rsid w:val="007733BC"/>
    <w:rsid w:val="007A160E"/>
    <w:rsid w:val="007B4F9B"/>
    <w:rsid w:val="007F0E01"/>
    <w:rsid w:val="007F17CE"/>
    <w:rsid w:val="00870707"/>
    <w:rsid w:val="00872689"/>
    <w:rsid w:val="00873F91"/>
    <w:rsid w:val="00877739"/>
    <w:rsid w:val="00887416"/>
    <w:rsid w:val="00892EAA"/>
    <w:rsid w:val="008C6A1C"/>
    <w:rsid w:val="0093041C"/>
    <w:rsid w:val="009C1C6C"/>
    <w:rsid w:val="009C64E5"/>
    <w:rsid w:val="00A06C75"/>
    <w:rsid w:val="00A352E3"/>
    <w:rsid w:val="00A8165B"/>
    <w:rsid w:val="00A86C1D"/>
    <w:rsid w:val="00A86FFB"/>
    <w:rsid w:val="00A906B0"/>
    <w:rsid w:val="00A90B82"/>
    <w:rsid w:val="00A92AF9"/>
    <w:rsid w:val="00A9504E"/>
    <w:rsid w:val="00AC1E6B"/>
    <w:rsid w:val="00AE6C15"/>
    <w:rsid w:val="00B270EF"/>
    <w:rsid w:val="00B6364F"/>
    <w:rsid w:val="00B743CE"/>
    <w:rsid w:val="00B75BB5"/>
    <w:rsid w:val="00BA25A9"/>
    <w:rsid w:val="00BD4088"/>
    <w:rsid w:val="00CA20F3"/>
    <w:rsid w:val="00CF5E5E"/>
    <w:rsid w:val="00D25915"/>
    <w:rsid w:val="00D57878"/>
    <w:rsid w:val="00D624BD"/>
    <w:rsid w:val="00D63C60"/>
    <w:rsid w:val="00D96299"/>
    <w:rsid w:val="00DA73F6"/>
    <w:rsid w:val="00DD03B6"/>
    <w:rsid w:val="00DE5249"/>
    <w:rsid w:val="00E225A4"/>
    <w:rsid w:val="00E35F45"/>
    <w:rsid w:val="00E47DAD"/>
    <w:rsid w:val="00E95B24"/>
    <w:rsid w:val="00E9772F"/>
    <w:rsid w:val="00EA4BDE"/>
    <w:rsid w:val="00EF5F42"/>
    <w:rsid w:val="00F130B3"/>
    <w:rsid w:val="00F5372B"/>
    <w:rsid w:val="00F90998"/>
    <w:rsid w:val="00FE7E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qFormat/>
    <w:rsid w:val="006D11A2"/>
    <w:pPr>
      <w:widowControl/>
      <w:spacing w:after="210"/>
      <w:ind w:left="270"/>
      <w:outlineLvl w:val="1"/>
    </w:pPr>
    <w:rPr>
      <w:rFonts w:ascii="新細明體" w:hAnsi="新細明體" w:cs="新細明體"/>
      <w:b/>
      <w:bCs/>
      <w:color w:val="666666"/>
      <w:kern w:val="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441E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270EF"/>
    <w:pPr>
      <w:tabs>
        <w:tab w:val="center" w:pos="4153"/>
        <w:tab w:val="right" w:pos="8306"/>
      </w:tabs>
      <w:snapToGrid w:val="0"/>
    </w:pPr>
    <w:rPr>
      <w:sz w:val="20"/>
      <w:szCs w:val="20"/>
    </w:rPr>
  </w:style>
  <w:style w:type="paragraph" w:styleId="a5">
    <w:name w:val="footer"/>
    <w:basedOn w:val="a"/>
    <w:rsid w:val="00B270EF"/>
    <w:pPr>
      <w:tabs>
        <w:tab w:val="center" w:pos="4153"/>
        <w:tab w:val="right" w:pos="8306"/>
      </w:tabs>
      <w:snapToGrid w:val="0"/>
    </w:pPr>
    <w:rPr>
      <w:sz w:val="20"/>
      <w:szCs w:val="20"/>
    </w:rPr>
  </w:style>
  <w:style w:type="character" w:styleId="a6">
    <w:name w:val="Strong"/>
    <w:basedOn w:val="a0"/>
    <w:qFormat/>
    <w:rsid w:val="00E47DAD"/>
    <w:rPr>
      <w:b/>
      <w:bCs/>
    </w:rPr>
  </w:style>
  <w:style w:type="paragraph" w:customStyle="1" w:styleId="introtext1">
    <w:name w:val="introtext1"/>
    <w:basedOn w:val="a"/>
    <w:rsid w:val="00E47DAD"/>
    <w:pPr>
      <w:widowControl/>
      <w:spacing w:after="180" w:line="288" w:lineRule="atLeast"/>
    </w:pPr>
    <w:rPr>
      <w:rFonts w:ascii="新細明體" w:hAnsi="新細明體" w:cs="新細明體"/>
      <w:b/>
      <w:bCs/>
      <w:color w:val="666666"/>
      <w:kern w:val="0"/>
      <w:sz w:val="43"/>
      <w:szCs w:val="43"/>
    </w:rPr>
  </w:style>
  <w:style w:type="paragraph" w:styleId="3">
    <w:name w:val="Body Text Indent 3"/>
    <w:basedOn w:val="a"/>
    <w:link w:val="30"/>
    <w:rsid w:val="00CA20F3"/>
    <w:pPr>
      <w:ind w:leftChars="199" w:left="2782" w:hangingChars="960" w:hanging="2304"/>
    </w:pPr>
  </w:style>
  <w:style w:type="character" w:customStyle="1" w:styleId="30">
    <w:name w:val="本文縮排 3 字元"/>
    <w:basedOn w:val="a0"/>
    <w:link w:val="3"/>
    <w:rsid w:val="00CA20F3"/>
    <w:rPr>
      <w:kern w:val="2"/>
      <w:sz w:val="24"/>
      <w:szCs w:val="24"/>
    </w:rPr>
  </w:style>
  <w:style w:type="character" w:styleId="a7">
    <w:name w:val="Hyperlink"/>
    <w:basedOn w:val="a0"/>
    <w:rsid w:val="00E95B24"/>
    <w:rPr>
      <w:color w:val="0000FF"/>
      <w:u w:val="single"/>
    </w:rPr>
  </w:style>
  <w:style w:type="paragraph" w:styleId="Web">
    <w:name w:val="Normal (Web)"/>
    <w:basedOn w:val="a"/>
    <w:rsid w:val="00F5372B"/>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523738599">
      <w:bodyDiv w:val="1"/>
      <w:marLeft w:val="0"/>
      <w:marRight w:val="0"/>
      <w:marTop w:val="0"/>
      <w:marBottom w:val="0"/>
      <w:divBdr>
        <w:top w:val="none" w:sz="0" w:space="0" w:color="auto"/>
        <w:left w:val="none" w:sz="0" w:space="0" w:color="auto"/>
        <w:bottom w:val="none" w:sz="0" w:space="0" w:color="auto"/>
        <w:right w:val="none" w:sz="0" w:space="0" w:color="auto"/>
      </w:divBdr>
      <w:divsChild>
        <w:div w:id="530151828">
          <w:marLeft w:val="0"/>
          <w:marRight w:val="0"/>
          <w:marTop w:val="0"/>
          <w:marBottom w:val="0"/>
          <w:divBdr>
            <w:top w:val="none" w:sz="0" w:space="0" w:color="auto"/>
            <w:left w:val="none" w:sz="0" w:space="0" w:color="auto"/>
            <w:bottom w:val="none" w:sz="0" w:space="0" w:color="auto"/>
            <w:right w:val="none" w:sz="0" w:space="0" w:color="auto"/>
          </w:divBdr>
          <w:divsChild>
            <w:div w:id="596596579">
              <w:marLeft w:val="0"/>
              <w:marRight w:val="0"/>
              <w:marTop w:val="0"/>
              <w:marBottom w:val="0"/>
              <w:divBdr>
                <w:top w:val="none" w:sz="0" w:space="0" w:color="auto"/>
                <w:left w:val="none" w:sz="0" w:space="0" w:color="auto"/>
                <w:bottom w:val="none" w:sz="0" w:space="0" w:color="auto"/>
                <w:right w:val="none" w:sz="0" w:space="0" w:color="auto"/>
              </w:divBdr>
              <w:divsChild>
                <w:div w:id="1176925667">
                  <w:marLeft w:val="0"/>
                  <w:marRight w:val="0"/>
                  <w:marTop w:val="0"/>
                  <w:marBottom w:val="0"/>
                  <w:divBdr>
                    <w:top w:val="none" w:sz="0" w:space="0" w:color="auto"/>
                    <w:left w:val="none" w:sz="0" w:space="0" w:color="auto"/>
                    <w:bottom w:val="none" w:sz="0" w:space="0" w:color="auto"/>
                    <w:right w:val="none" w:sz="0" w:space="0" w:color="auto"/>
                  </w:divBdr>
                  <w:divsChild>
                    <w:div w:id="390422476">
                      <w:marLeft w:val="0"/>
                      <w:marRight w:val="0"/>
                      <w:marTop w:val="0"/>
                      <w:marBottom w:val="0"/>
                      <w:divBdr>
                        <w:top w:val="none" w:sz="0" w:space="0" w:color="auto"/>
                        <w:left w:val="none" w:sz="0" w:space="0" w:color="auto"/>
                        <w:bottom w:val="none" w:sz="0" w:space="0" w:color="auto"/>
                        <w:right w:val="none" w:sz="0" w:space="0" w:color="auto"/>
                      </w:divBdr>
                      <w:divsChild>
                        <w:div w:id="2071926009">
                          <w:marLeft w:val="0"/>
                          <w:marRight w:val="0"/>
                          <w:marTop w:val="0"/>
                          <w:marBottom w:val="0"/>
                          <w:divBdr>
                            <w:top w:val="none" w:sz="0" w:space="0" w:color="auto"/>
                            <w:left w:val="none" w:sz="0" w:space="0" w:color="auto"/>
                            <w:bottom w:val="none" w:sz="0" w:space="0" w:color="auto"/>
                            <w:right w:val="none" w:sz="0" w:space="0" w:color="auto"/>
                          </w:divBdr>
                          <w:divsChild>
                            <w:div w:id="20879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lever.com/sustainability/customers-suppliers/suppliers/?WT.LHNAV=Suppl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Links>
    <vt:vector size="6" baseType="variant">
      <vt:variant>
        <vt:i4>5373957</vt:i4>
      </vt:variant>
      <vt:variant>
        <vt:i4>0</vt:i4>
      </vt:variant>
      <vt:variant>
        <vt:i4>0</vt:i4>
      </vt:variant>
      <vt:variant>
        <vt:i4>5</vt:i4>
      </vt:variant>
      <vt:variant>
        <vt:lpwstr>http://www.unilever.com./sustainability/introduction/Governance/?WT.LHNAV=Governance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企業概述</dc:title>
  <dc:creator>Tony Mo</dc:creator>
  <cp:lastModifiedBy>Tony Mo</cp:lastModifiedBy>
  <cp:revision>3</cp:revision>
  <dcterms:created xsi:type="dcterms:W3CDTF">2011-08-03T05:27:00Z</dcterms:created>
  <dcterms:modified xsi:type="dcterms:W3CDTF">2011-08-03T05:30:00Z</dcterms:modified>
</cp:coreProperties>
</file>