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1" w:rsidRDefault="00F8659E" w:rsidP="007F0E01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花旗銀行</w:t>
      </w:r>
      <w:r w:rsidR="009B4CFD">
        <w:rPr>
          <w:rFonts w:eastAsia="標楷體" w:hAnsi="標楷體" w:hint="eastAsia"/>
          <w:sz w:val="32"/>
          <w:szCs w:val="32"/>
        </w:rPr>
        <w:t>的</w:t>
      </w:r>
      <w:r w:rsidR="008307D0">
        <w:rPr>
          <w:rFonts w:eastAsia="標楷體" w:hAnsi="標楷體" w:hint="eastAsia"/>
          <w:sz w:val="32"/>
          <w:szCs w:val="32"/>
        </w:rPr>
        <w:t>反</w:t>
      </w:r>
      <w:r w:rsidR="00C62A0F">
        <w:rPr>
          <w:rFonts w:eastAsia="標楷體" w:hAnsi="標楷體" w:hint="eastAsia"/>
          <w:sz w:val="32"/>
          <w:szCs w:val="32"/>
        </w:rPr>
        <w:t>洗錢計畫</w:t>
      </w:r>
    </w:p>
    <w:p w:rsidR="007F0E01" w:rsidRDefault="007F0E01" w:rsidP="007F0E01">
      <w:pPr>
        <w:jc w:val="right"/>
        <w:rPr>
          <w:rFonts w:eastAsia="標楷體" w:hAnsi="標楷體"/>
          <w:sz w:val="28"/>
          <w:szCs w:val="28"/>
        </w:rPr>
      </w:pPr>
      <w:r w:rsidRPr="007F0E01">
        <w:rPr>
          <w:rFonts w:eastAsia="標楷體" w:hAnsi="標楷體" w:hint="eastAsia"/>
          <w:sz w:val="28"/>
          <w:szCs w:val="28"/>
        </w:rPr>
        <w:t>第</w:t>
      </w:r>
      <w:r w:rsidR="00C62A0F">
        <w:rPr>
          <w:rFonts w:eastAsia="標楷體" w:hAnsi="標楷體" w:hint="eastAsia"/>
          <w:sz w:val="28"/>
          <w:szCs w:val="28"/>
        </w:rPr>
        <w:t>十</w:t>
      </w:r>
      <w:r w:rsidRPr="007F0E01">
        <w:rPr>
          <w:rFonts w:eastAsia="標楷體" w:hAnsi="標楷體" w:hint="eastAsia"/>
          <w:sz w:val="28"/>
          <w:szCs w:val="28"/>
        </w:rPr>
        <w:t>條</w:t>
      </w:r>
      <w:r w:rsidR="00103B61">
        <w:rPr>
          <w:rFonts w:eastAsia="標楷體" w:hAnsi="標楷體" w:hint="eastAsia"/>
          <w:sz w:val="28"/>
          <w:szCs w:val="28"/>
        </w:rPr>
        <w:t xml:space="preserve"> </w:t>
      </w:r>
      <w:r w:rsidRPr="007F0E01">
        <w:rPr>
          <w:rFonts w:eastAsia="標楷體" w:hAnsi="標楷體" w:hint="eastAsia"/>
          <w:sz w:val="28"/>
          <w:szCs w:val="28"/>
        </w:rPr>
        <w:t>等級</w:t>
      </w:r>
      <w:r w:rsidRPr="007F0E01">
        <w:rPr>
          <w:rFonts w:eastAsia="標楷體" w:hAnsi="標楷體" w:hint="eastAsia"/>
          <w:sz w:val="28"/>
          <w:szCs w:val="28"/>
        </w:rPr>
        <w:t xml:space="preserve">: </w:t>
      </w:r>
      <w:r w:rsidR="00C62A0F">
        <w:rPr>
          <w:rFonts w:eastAsia="標楷體" w:hAnsi="標楷體" w:hint="eastAsia"/>
          <w:sz w:val="28"/>
          <w:szCs w:val="28"/>
        </w:rPr>
        <w:t>初級</w:t>
      </w:r>
    </w:p>
    <w:p w:rsidR="00A4090F" w:rsidRPr="007366C1" w:rsidRDefault="00A4090F" w:rsidP="00A4090F">
      <w:pPr>
        <w:pStyle w:val="Default"/>
        <w:spacing w:before="40" w:after="40"/>
        <w:jc w:val="right"/>
        <w:rPr>
          <w:rFonts w:ascii="Times New Roman" w:eastAsia="標楷體" w:hAnsi="標楷體" w:cs="Times New Roman"/>
        </w:rPr>
      </w:pPr>
      <w:r w:rsidRPr="007366C1">
        <w:rPr>
          <w:rFonts w:ascii="Times New Roman" w:eastAsia="標楷體" w:hAnsi="標楷體" w:cs="Times New Roman"/>
        </w:rPr>
        <w:t>資料來源：</w:t>
      </w:r>
      <w:r w:rsidR="009C4740" w:rsidRPr="007366C1">
        <w:rPr>
          <w:rFonts w:ascii="Times New Roman" w:eastAsia="標楷體" w:hAnsi="標楷體" w:cs="Times New Roman" w:hint="eastAsia"/>
        </w:rPr>
        <w:t>201</w:t>
      </w:r>
      <w:r w:rsidR="00C62A0F">
        <w:rPr>
          <w:rFonts w:ascii="Times New Roman" w:eastAsia="標楷體" w:hAnsi="標楷體" w:cs="Times New Roman" w:hint="eastAsia"/>
        </w:rPr>
        <w:t>1</w:t>
      </w:r>
      <w:r w:rsidR="009C4740" w:rsidRPr="007366C1">
        <w:rPr>
          <w:rFonts w:ascii="Times New Roman" w:eastAsia="標楷體" w:hAnsi="標楷體" w:cs="Times New Roman" w:hint="eastAsia"/>
        </w:rPr>
        <w:t>年花旗銀行</w:t>
      </w:r>
      <w:r w:rsidR="009C4740" w:rsidRPr="007366C1">
        <w:rPr>
          <w:rFonts w:ascii="Times New Roman" w:eastAsia="標楷體" w:hAnsi="標楷體" w:cs="Times New Roman"/>
        </w:rPr>
        <w:t>Global Citizenship Report</w:t>
      </w:r>
    </w:p>
    <w:p w:rsidR="00175079" w:rsidRPr="009C4740" w:rsidRDefault="006C0984" w:rsidP="00E81C7E">
      <w:pPr>
        <w:autoSpaceDE w:val="0"/>
        <w:autoSpaceDN w:val="0"/>
        <w:adjustRightInd w:val="0"/>
        <w:snapToGrid w:val="0"/>
        <w:spacing w:beforeLines="200" w:before="720" w:line="360" w:lineRule="auto"/>
        <w:jc w:val="both"/>
        <w:rPr>
          <w:rFonts w:eastAsia="標楷體" w:hAnsi="標楷體"/>
          <w:i/>
          <w:color w:val="000000"/>
          <w:sz w:val="28"/>
          <w:szCs w:val="28"/>
        </w:rPr>
      </w:pPr>
      <w:r>
        <w:rPr>
          <w:rFonts w:eastAsia="標楷體" w:hAnsi="標楷體" w:hint="eastAsia"/>
          <w:i/>
          <w:color w:val="000000"/>
          <w:sz w:val="28"/>
          <w:szCs w:val="28"/>
        </w:rPr>
        <w:t>花旗銀行成立</w:t>
      </w:r>
      <w:r w:rsidR="00E81C7E">
        <w:rPr>
          <w:rFonts w:eastAsia="標楷體" w:hAnsi="標楷體" w:hint="eastAsia"/>
          <w:i/>
          <w:color w:val="000000"/>
          <w:sz w:val="28"/>
          <w:szCs w:val="28"/>
        </w:rPr>
        <w:t>全球性的</w:t>
      </w:r>
      <w:r>
        <w:rPr>
          <w:rFonts w:eastAsia="標楷體" w:hAnsi="標楷體" w:hint="eastAsia"/>
          <w:i/>
          <w:color w:val="000000"/>
          <w:sz w:val="28"/>
          <w:szCs w:val="28"/>
        </w:rPr>
        <w:t>反洗錢</w:t>
      </w:r>
      <w:r w:rsidR="00E81C7E">
        <w:rPr>
          <w:rFonts w:eastAsia="標楷體" w:hAnsi="標楷體" w:hint="eastAsia"/>
          <w:i/>
          <w:color w:val="000000"/>
          <w:sz w:val="28"/>
          <w:szCs w:val="28"/>
        </w:rPr>
        <w:t>團隊，在世界各地進行反洗錢的計畫，並支持高科技的內外部監察。</w:t>
      </w:r>
    </w:p>
    <w:p w:rsidR="004F17A4" w:rsidRPr="00117EC9" w:rsidRDefault="00F8659E" w:rsidP="00E81C7E">
      <w:pPr>
        <w:snapToGrid w:val="0"/>
        <w:spacing w:beforeLines="150" w:before="540" w:line="360" w:lineRule="auto"/>
        <w:rPr>
          <w:rFonts w:eastAsia="標楷體"/>
          <w:b/>
          <w:sz w:val="28"/>
          <w:szCs w:val="28"/>
        </w:rPr>
      </w:pPr>
      <w:r w:rsidRPr="00D0235E">
        <w:rPr>
          <w:rFonts w:eastAsia="標楷體" w:hint="eastAsia"/>
          <w:b/>
          <w:sz w:val="28"/>
          <w:szCs w:val="28"/>
        </w:rPr>
        <w:t>企業概述</w:t>
      </w:r>
      <w:bookmarkStart w:id="0" w:name="_GoBack"/>
      <w:bookmarkEnd w:id="0"/>
    </w:p>
    <w:p w:rsidR="00F8659E" w:rsidRPr="00F8659E" w:rsidRDefault="00F8659E" w:rsidP="00D0235E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  <w:lang w:eastAsia="zh-CN"/>
        </w:rPr>
      </w:pPr>
      <w:r w:rsidRPr="00F8659E">
        <w:rPr>
          <w:rFonts w:eastAsia="標楷體" w:hAnsi="標楷體" w:hint="eastAsia"/>
          <w:sz w:val="28"/>
          <w:szCs w:val="28"/>
        </w:rPr>
        <w:t>花旗銀行</w:t>
      </w:r>
      <w:r w:rsidRPr="00F8659E">
        <w:rPr>
          <w:rFonts w:eastAsia="標楷體" w:hAnsi="標楷體"/>
          <w:sz w:val="28"/>
          <w:szCs w:val="28"/>
        </w:rPr>
        <w:t>(Citibank)</w:t>
      </w:r>
      <w:r w:rsidRPr="00F8659E">
        <w:rPr>
          <w:rFonts w:eastAsia="標楷體" w:hAnsi="標楷體" w:hint="eastAsia"/>
          <w:sz w:val="28"/>
          <w:szCs w:val="28"/>
        </w:rPr>
        <w:t>是花旗集團</w:t>
      </w:r>
      <w:r w:rsidRPr="00F8659E">
        <w:rPr>
          <w:rFonts w:eastAsia="標楷體" w:hAnsi="標楷體"/>
          <w:sz w:val="28"/>
          <w:szCs w:val="28"/>
        </w:rPr>
        <w:t>(Citigroup)</w:t>
      </w:r>
      <w:r w:rsidRPr="00F8659E">
        <w:rPr>
          <w:rFonts w:eastAsia="標楷體" w:hAnsi="標楷體" w:hint="eastAsia"/>
          <w:sz w:val="28"/>
          <w:szCs w:val="28"/>
        </w:rPr>
        <w:t>屬下的一家零售銀行，其主要前身是</w:t>
      </w:r>
      <w:r w:rsidRPr="00F8659E">
        <w:rPr>
          <w:rFonts w:eastAsia="標楷體" w:hAnsi="標楷體"/>
          <w:sz w:val="28"/>
          <w:szCs w:val="28"/>
        </w:rPr>
        <w:t>1812</w:t>
      </w:r>
      <w:r w:rsidRPr="00F8659E">
        <w:rPr>
          <w:rFonts w:eastAsia="標楷體" w:hAnsi="標楷體" w:hint="eastAsia"/>
          <w:sz w:val="28"/>
          <w:szCs w:val="28"/>
        </w:rPr>
        <w:t>年</w:t>
      </w:r>
      <w:r w:rsidRPr="00F8659E">
        <w:rPr>
          <w:rFonts w:eastAsia="標楷體" w:hAnsi="標楷體"/>
          <w:sz w:val="28"/>
          <w:szCs w:val="28"/>
        </w:rPr>
        <w:t>6</w:t>
      </w:r>
      <w:r w:rsidRPr="00F8659E">
        <w:rPr>
          <w:rFonts w:eastAsia="標楷體" w:hAnsi="標楷體" w:hint="eastAsia"/>
          <w:sz w:val="28"/>
          <w:szCs w:val="28"/>
        </w:rPr>
        <w:t>月</w:t>
      </w:r>
      <w:r w:rsidRPr="00F8659E">
        <w:rPr>
          <w:rFonts w:eastAsia="標楷體" w:hAnsi="標楷體"/>
          <w:sz w:val="28"/>
          <w:szCs w:val="28"/>
        </w:rPr>
        <w:t>16</w:t>
      </w:r>
      <w:r w:rsidRPr="00F8659E">
        <w:rPr>
          <w:rFonts w:eastAsia="標楷體" w:hAnsi="標楷體" w:hint="eastAsia"/>
          <w:sz w:val="28"/>
          <w:szCs w:val="28"/>
        </w:rPr>
        <w:t>日成立的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紐約城市銀行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(City Bank of New York)</w:t>
      </w:r>
      <w:r w:rsidRPr="00F8659E">
        <w:rPr>
          <w:rFonts w:eastAsia="標楷體" w:hAnsi="標楷體" w:hint="eastAsia"/>
          <w:sz w:val="28"/>
          <w:szCs w:val="28"/>
        </w:rPr>
        <w:t>，經過近兩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世紀的發展、並購，已成為美國最大的銀行，也是一間在全球近五十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國家及地區設有分支機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搆</w:t>
      </w:r>
      <w:proofErr w:type="gramEnd"/>
      <w:r w:rsidRPr="00F8659E">
        <w:rPr>
          <w:rFonts w:eastAsia="標楷體" w:hAnsi="標楷體" w:hint="eastAsia"/>
          <w:sz w:val="28"/>
          <w:szCs w:val="28"/>
        </w:rPr>
        <w:t>的國際大銀行。</w:t>
      </w:r>
      <w:r w:rsidRPr="00F8659E">
        <w:rPr>
          <w:rFonts w:eastAsia="標楷體" w:hAnsi="標楷體"/>
          <w:sz w:val="28"/>
          <w:szCs w:val="28"/>
        </w:rPr>
        <w:t>1998</w:t>
      </w:r>
      <w:r w:rsidRPr="00F8659E">
        <w:rPr>
          <w:rFonts w:eastAsia="標楷體" w:hAnsi="標楷體" w:hint="eastAsia"/>
          <w:sz w:val="28"/>
          <w:szCs w:val="28"/>
        </w:rPr>
        <w:t>年</w:t>
      </w:r>
      <w:r w:rsidRPr="00F8659E">
        <w:rPr>
          <w:rFonts w:eastAsia="標楷體" w:hAnsi="標楷體"/>
          <w:sz w:val="28"/>
          <w:szCs w:val="28"/>
        </w:rPr>
        <w:t>10</w:t>
      </w:r>
      <w:r w:rsidRPr="00F8659E">
        <w:rPr>
          <w:rFonts w:eastAsia="標楷體" w:hAnsi="標楷體" w:hint="eastAsia"/>
          <w:sz w:val="28"/>
          <w:szCs w:val="28"/>
        </w:rPr>
        <w:t>月花旗銀行的母公司及控股公司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花旗公司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(Citicorp)</w:t>
      </w:r>
      <w:r w:rsidRPr="00F8659E">
        <w:rPr>
          <w:rFonts w:eastAsia="標楷體" w:hAnsi="標楷體" w:hint="eastAsia"/>
          <w:sz w:val="28"/>
          <w:szCs w:val="28"/>
        </w:rPr>
        <w:t>與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旅行家集團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(Travelers Group)</w:t>
      </w:r>
      <w:r w:rsidRPr="00F8659E">
        <w:rPr>
          <w:rFonts w:eastAsia="標楷體" w:hAnsi="標楷體" w:hint="eastAsia"/>
          <w:sz w:val="28"/>
          <w:szCs w:val="28"/>
        </w:rPr>
        <w:t>合併組成花旗集團，此後花旗銀行繼續保持為花旗集團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紅雨傘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 w:hint="eastAsia"/>
          <w:sz w:val="28"/>
          <w:szCs w:val="28"/>
        </w:rPr>
        <w:t>旗下的強勢品牌。</w:t>
      </w:r>
      <w:r w:rsidRPr="00F8659E">
        <w:rPr>
          <w:rFonts w:eastAsia="標楷體" w:hAnsi="標楷體"/>
          <w:sz w:val="28"/>
          <w:szCs w:val="28"/>
        </w:rPr>
        <w:t xml:space="preserve"> </w:t>
      </w:r>
    </w:p>
    <w:p w:rsidR="00F8659E" w:rsidRPr="00F8659E" w:rsidRDefault="00F8659E" w:rsidP="00D0235E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</w:rPr>
      </w:pPr>
      <w:r w:rsidRPr="00F8659E">
        <w:rPr>
          <w:rFonts w:eastAsia="標楷體" w:hAnsi="標楷體" w:hint="eastAsia"/>
          <w:sz w:val="28"/>
          <w:szCs w:val="28"/>
        </w:rPr>
        <w:t>花旗銀行是眾所公認的積極求新又專業化的銀行，在臺灣市場上一直居於領導地位。隨著臺灣經濟的發展與金融的自由化，現在花旗銀行就存款、資產總值，獲利情況及營業範圍而言，已成為國內規模最大的外商銀行。</w:t>
      </w:r>
      <w:r w:rsidRPr="00F8659E">
        <w:rPr>
          <w:rFonts w:eastAsia="標楷體" w:hAnsi="標楷體"/>
          <w:sz w:val="28"/>
          <w:szCs w:val="28"/>
        </w:rPr>
        <w:t xml:space="preserve"> </w:t>
      </w:r>
    </w:p>
    <w:p w:rsidR="00F8659E" w:rsidRPr="00F8659E" w:rsidRDefault="00F8659E" w:rsidP="00D0235E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</w:rPr>
      </w:pPr>
      <w:r w:rsidRPr="00F8659E">
        <w:rPr>
          <w:rFonts w:eastAsia="標楷體" w:hAnsi="標楷體" w:hint="eastAsia"/>
          <w:sz w:val="28"/>
          <w:szCs w:val="28"/>
        </w:rPr>
        <w:t>花旗集團是全球最大的金融服務公司，目前在全球共有四千多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分支機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搆</w:t>
      </w:r>
      <w:proofErr w:type="gramEnd"/>
      <w:r w:rsidRPr="00F8659E">
        <w:rPr>
          <w:rFonts w:eastAsia="標楷體" w:hAnsi="標楷體" w:hint="eastAsia"/>
          <w:sz w:val="28"/>
          <w:szCs w:val="28"/>
        </w:rPr>
        <w:t>，業務範圍包括消費金融、企業金融、投資銀行、私人銀行、保險、</w:t>
      </w:r>
      <w:r w:rsidR="00D0235E" w:rsidRPr="00D31899">
        <w:rPr>
          <w:rFonts w:eastAsia="標楷體" w:hAnsi="標楷體" w:hint="eastAsia"/>
          <w:sz w:val="28"/>
          <w:szCs w:val="28"/>
        </w:rPr>
        <w:t>證券經紀</w:t>
      </w:r>
      <w:r w:rsidR="00D0235E" w:rsidRPr="00F8659E">
        <w:rPr>
          <w:rFonts w:eastAsia="標楷體" w:hAnsi="標楷體"/>
          <w:sz w:val="28"/>
          <w:szCs w:val="28"/>
        </w:rPr>
        <w:t>及</w:t>
      </w:r>
      <w:r w:rsidR="00D0235E">
        <w:rPr>
          <w:rFonts w:eastAsia="標楷體" w:hAnsi="標楷體" w:hint="eastAsia"/>
          <w:sz w:val="28"/>
          <w:szCs w:val="28"/>
        </w:rPr>
        <w:t>資產</w:t>
      </w:r>
      <w:r w:rsidR="00D0235E" w:rsidRPr="00F8659E">
        <w:rPr>
          <w:rFonts w:eastAsia="標楷體" w:hAnsi="標楷體"/>
          <w:sz w:val="28"/>
          <w:szCs w:val="28"/>
        </w:rPr>
        <w:t>管理</w:t>
      </w:r>
      <w:r w:rsidR="00D0235E">
        <w:rPr>
          <w:rFonts w:eastAsia="標楷體" w:hAnsi="標楷體" w:hint="eastAsia"/>
          <w:sz w:val="28"/>
          <w:szCs w:val="28"/>
        </w:rPr>
        <w:t>服務</w:t>
      </w:r>
      <w:r w:rsidR="00D0235E" w:rsidRPr="00F8659E">
        <w:rPr>
          <w:rFonts w:eastAsia="標楷體" w:hAnsi="標楷體"/>
          <w:sz w:val="28"/>
          <w:szCs w:val="28"/>
        </w:rPr>
        <w:t>等。</w:t>
      </w:r>
    </w:p>
    <w:p w:rsidR="00A352E3" w:rsidRDefault="00A352E3" w:rsidP="00E81C7E">
      <w:pPr>
        <w:snapToGrid w:val="0"/>
        <w:spacing w:beforeLines="150" w:before="540" w:line="360" w:lineRule="auto"/>
        <w:rPr>
          <w:rFonts w:eastAsia="標楷體"/>
          <w:b/>
          <w:sz w:val="28"/>
          <w:szCs w:val="28"/>
        </w:rPr>
      </w:pPr>
      <w:r w:rsidRPr="00117EC9">
        <w:rPr>
          <w:rFonts w:eastAsia="標楷體" w:hint="eastAsia"/>
          <w:b/>
          <w:sz w:val="28"/>
          <w:szCs w:val="28"/>
        </w:rPr>
        <w:t>案例描述</w:t>
      </w:r>
    </w:p>
    <w:p w:rsidR="006C0984" w:rsidRDefault="00D0235E" w:rsidP="00BC170F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洗錢會破壞國際金融系統之信心，也關係到花旗銀行的商譽風險，因此為了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</w:rPr>
        <w:t>打擊洗錢及恐怖份子的融資活動，並遵循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如銀行保密法（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Bank Secrecy Act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）、美國愛國者法案（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USA PATRIOT Act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）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</w:rPr>
        <w:t>等法規，以及其他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</w:rPr>
        <w:t>相關的法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</w:rPr>
        <w:t>律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</w:rPr>
        <w:t>規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</w:rPr>
        <w:t>範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r w:rsidR="00145CE8" w:rsidRPr="00AC2936">
        <w:rPr>
          <w:rFonts w:eastAsia="標楷體" w:hAnsi="標楷體" w:hint="eastAsia"/>
          <w:color w:val="000000"/>
          <w:kern w:val="0"/>
          <w:sz w:val="28"/>
          <w:szCs w:val="28"/>
        </w:rPr>
        <w:t>花期</w:t>
      </w:r>
      <w:r w:rsidR="00145CE8" w:rsidRPr="00AC2936">
        <w:rPr>
          <w:rFonts w:eastAsia="標楷體" w:hAnsi="標楷體" w:hint="eastAsia"/>
          <w:color w:val="000000"/>
          <w:kern w:val="0"/>
          <w:sz w:val="28"/>
          <w:szCs w:val="28"/>
        </w:rPr>
        <w:lastRenderedPageBreak/>
        <w:t>銀行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</w:rPr>
        <w:t>成立了全球性的團隊，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在世界各地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有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300</w:t>
      </w:r>
      <w:r w:rsidR="008307D0"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多個反洗錢專責小組。</w:t>
      </w:r>
    </w:p>
    <w:p w:rsidR="008C469D" w:rsidRPr="00175079" w:rsidRDefault="008307D0" w:rsidP="00BC170F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Interstate-Light" w:eastAsia="Interstate-Light" w:cs="Interstate-Light"/>
          <w:color w:val="484848"/>
          <w:kern w:val="0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花旗銀行支持詳盡的反洗錢政策及相關計畫，也使用精密的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科學</w:t>
      </w:r>
      <w:r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技術，</w:t>
      </w:r>
      <w:r w:rsidR="006C0984"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全球性地</w:t>
      </w:r>
      <w:r>
        <w:rPr>
          <w:rFonts w:eastAsia="標楷體" w:hAnsi="標楷體" w:hint="eastAsia"/>
          <w:color w:val="000000"/>
          <w:kern w:val="0"/>
          <w:sz w:val="28"/>
          <w:szCs w:val="28"/>
          <w:lang w:val="es-ES"/>
        </w:rPr>
        <w:t>監控公司可疑的商業行為。這些計畫都屬於內外部的例行監察。</w:t>
      </w:r>
    </w:p>
    <w:sectPr w:rsidR="008C469D" w:rsidRPr="00175079" w:rsidSect="00D259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84" w:rsidRDefault="006C0984">
      <w:r>
        <w:separator/>
      </w:r>
    </w:p>
  </w:endnote>
  <w:endnote w:type="continuationSeparator" w:id="0">
    <w:p w:rsidR="006C0984" w:rsidRDefault="006C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-Lt">
    <w:altName w:val="AR MingtiM BIG-5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Ming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84" w:rsidRDefault="006C0984">
      <w:r>
        <w:separator/>
      </w:r>
    </w:p>
  </w:footnote>
  <w:footnote w:type="continuationSeparator" w:id="0">
    <w:p w:rsidR="006C0984" w:rsidRDefault="006C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C170D"/>
    <w:multiLevelType w:val="hybridMultilevel"/>
    <w:tmpl w:val="D76418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7F3CD7"/>
    <w:multiLevelType w:val="hybridMultilevel"/>
    <w:tmpl w:val="894AA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E909D9"/>
    <w:multiLevelType w:val="hybridMultilevel"/>
    <w:tmpl w:val="98B4B33C"/>
    <w:lvl w:ilvl="0" w:tplc="D1483938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916947"/>
    <w:multiLevelType w:val="hybridMultilevel"/>
    <w:tmpl w:val="7BAE6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70419CA">
      <w:numFmt w:val="bullet"/>
      <w:lvlText w:val="•"/>
      <w:lvlJc w:val="left"/>
      <w:pPr>
        <w:ind w:left="840" w:hanging="360"/>
      </w:pPr>
      <w:rPr>
        <w:rFonts w:ascii="Interstate-Light" w:eastAsia="Interstate-Light" w:hAnsi="Interstate-Light" w:cs="Interstate-Light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E10867"/>
    <w:multiLevelType w:val="hybridMultilevel"/>
    <w:tmpl w:val="0576F848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F05E22"/>
    <w:multiLevelType w:val="hybridMultilevel"/>
    <w:tmpl w:val="EF8C52C8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AE407FC"/>
    <w:multiLevelType w:val="hybridMultilevel"/>
    <w:tmpl w:val="DCB6F55C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7A4"/>
    <w:rsid w:val="000027CB"/>
    <w:rsid w:val="00035766"/>
    <w:rsid w:val="000441ED"/>
    <w:rsid w:val="000B3B80"/>
    <w:rsid w:val="00103B61"/>
    <w:rsid w:val="00117EC9"/>
    <w:rsid w:val="00145CE8"/>
    <w:rsid w:val="00175079"/>
    <w:rsid w:val="0019149F"/>
    <w:rsid w:val="001B42AE"/>
    <w:rsid w:val="00240CDF"/>
    <w:rsid w:val="002A3B6A"/>
    <w:rsid w:val="002B6860"/>
    <w:rsid w:val="0039587D"/>
    <w:rsid w:val="003A2FB7"/>
    <w:rsid w:val="003E1D05"/>
    <w:rsid w:val="0048184F"/>
    <w:rsid w:val="004F17A4"/>
    <w:rsid w:val="00571513"/>
    <w:rsid w:val="00586B25"/>
    <w:rsid w:val="006329C8"/>
    <w:rsid w:val="006A1D3C"/>
    <w:rsid w:val="006C0984"/>
    <w:rsid w:val="007016FA"/>
    <w:rsid w:val="007366C1"/>
    <w:rsid w:val="00786BF2"/>
    <w:rsid w:val="007F0E01"/>
    <w:rsid w:val="008307D0"/>
    <w:rsid w:val="00880E59"/>
    <w:rsid w:val="008C469D"/>
    <w:rsid w:val="008C6A1C"/>
    <w:rsid w:val="008D2A82"/>
    <w:rsid w:val="008F10EA"/>
    <w:rsid w:val="0096045C"/>
    <w:rsid w:val="009B4CFD"/>
    <w:rsid w:val="009C4740"/>
    <w:rsid w:val="00A352E3"/>
    <w:rsid w:val="00A4090F"/>
    <w:rsid w:val="00A73F36"/>
    <w:rsid w:val="00A86FFB"/>
    <w:rsid w:val="00AC2936"/>
    <w:rsid w:val="00AF1F7A"/>
    <w:rsid w:val="00B270EF"/>
    <w:rsid w:val="00B32B4C"/>
    <w:rsid w:val="00B4754F"/>
    <w:rsid w:val="00BC142A"/>
    <w:rsid w:val="00BC170F"/>
    <w:rsid w:val="00BD0C0B"/>
    <w:rsid w:val="00C272A6"/>
    <w:rsid w:val="00C44566"/>
    <w:rsid w:val="00C55AF7"/>
    <w:rsid w:val="00C62A0F"/>
    <w:rsid w:val="00C76DB6"/>
    <w:rsid w:val="00CE0519"/>
    <w:rsid w:val="00D0235E"/>
    <w:rsid w:val="00D25915"/>
    <w:rsid w:val="00D624BD"/>
    <w:rsid w:val="00D97F5C"/>
    <w:rsid w:val="00DB08D0"/>
    <w:rsid w:val="00DF27AF"/>
    <w:rsid w:val="00E34F63"/>
    <w:rsid w:val="00E81C7E"/>
    <w:rsid w:val="00E83D2D"/>
    <w:rsid w:val="00EB6A54"/>
    <w:rsid w:val="00ED7188"/>
    <w:rsid w:val="00EF2DB6"/>
    <w:rsid w:val="00EF5F42"/>
    <w:rsid w:val="00F27C57"/>
    <w:rsid w:val="00F306FC"/>
    <w:rsid w:val="00F8659E"/>
    <w:rsid w:val="00F90998"/>
    <w:rsid w:val="00FD173D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1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2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2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B4CFD"/>
    <w:pPr>
      <w:widowControl w:val="0"/>
      <w:autoSpaceDE w:val="0"/>
      <w:autoSpaceDN w:val="0"/>
      <w:adjustRightInd w:val="0"/>
    </w:pPr>
    <w:rPr>
      <w:rFonts w:ascii="DFMingBold-B5" w:eastAsia="DFMingBold-B5" w:cs="DFMingBold-B5"/>
      <w:color w:val="000000"/>
      <w:sz w:val="24"/>
      <w:szCs w:val="24"/>
    </w:rPr>
  </w:style>
  <w:style w:type="character" w:customStyle="1" w:styleId="yqlink">
    <w:name w:val="yqlink"/>
    <w:basedOn w:val="a0"/>
    <w:rsid w:val="00F8659E"/>
  </w:style>
  <w:style w:type="paragraph" w:styleId="z-">
    <w:name w:val="HTML Top of Form"/>
    <w:basedOn w:val="a"/>
    <w:next w:val="a"/>
    <w:link w:val="z-0"/>
    <w:hidden/>
    <w:uiPriority w:val="99"/>
    <w:unhideWhenUsed/>
    <w:rsid w:val="00F8659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8659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8659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8659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7EC"/>
            <w:right w:val="single" w:sz="6" w:space="0" w:color="CBD7EC"/>
          </w:divBdr>
          <w:divsChild>
            <w:div w:id="1035882556"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611</Words>
  <Characters>139</Characters>
  <Application>Microsoft Office Word</Application>
  <DocSecurity>0</DocSecurity>
  <Lines>1</Lines>
  <Paragraphs>1</Paragraphs>
  <ScaleCrop>false</ScaleCrop>
  <Company/>
  <LinksUpToDate>false</LinksUpToDate>
  <CharactersWithSpaces>749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http://www.iask.com/n?k=%D6%A4%C8%AF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http://www.citibank.com.tw/global_docs/chi/csr/index.htm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企業概述</dc:title>
  <dc:subject/>
  <dc:creator>Tony Mo</dc:creator>
  <cp:keywords/>
  <dc:description/>
  <cp:lastModifiedBy>Avis</cp:lastModifiedBy>
  <cp:revision>4</cp:revision>
  <dcterms:created xsi:type="dcterms:W3CDTF">2012-11-07T22:51:00Z</dcterms:created>
  <dcterms:modified xsi:type="dcterms:W3CDTF">2012-11-08T03:23:00Z</dcterms:modified>
</cp:coreProperties>
</file>