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B9" w:rsidRPr="003D3FB9" w:rsidRDefault="00F8659E" w:rsidP="00C96D0E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花旗銀行</w:t>
      </w:r>
      <w:r w:rsidR="009B4CFD">
        <w:rPr>
          <w:rFonts w:eastAsia="標楷體" w:hAnsi="標楷體" w:hint="eastAsia"/>
          <w:sz w:val="32"/>
          <w:szCs w:val="32"/>
        </w:rPr>
        <w:t>的</w:t>
      </w:r>
      <w:r w:rsidR="002939CC">
        <w:rPr>
          <w:rFonts w:eastAsia="標楷體" w:hAnsi="標楷體" w:hint="eastAsia"/>
          <w:sz w:val="32"/>
          <w:szCs w:val="32"/>
        </w:rPr>
        <w:t>工作環境</w:t>
      </w:r>
    </w:p>
    <w:p w:rsidR="007F0E01" w:rsidRPr="001412A5" w:rsidRDefault="007F0E01" w:rsidP="007F0E01">
      <w:pPr>
        <w:jc w:val="right"/>
        <w:rPr>
          <w:rFonts w:eastAsia="標楷體" w:hAnsi="標楷體"/>
          <w:color w:val="000000"/>
          <w:sz w:val="28"/>
          <w:szCs w:val="28"/>
        </w:rPr>
      </w:pPr>
      <w:r w:rsidRPr="007F0E01">
        <w:rPr>
          <w:rFonts w:eastAsia="標楷體" w:hAnsi="標楷體" w:hint="eastAsia"/>
          <w:sz w:val="28"/>
          <w:szCs w:val="28"/>
        </w:rPr>
        <w:t>第</w:t>
      </w:r>
      <w:r w:rsidR="005C728E">
        <w:rPr>
          <w:rFonts w:eastAsia="標楷體" w:hAnsi="標楷體" w:hint="eastAsia"/>
          <w:sz w:val="28"/>
          <w:szCs w:val="28"/>
        </w:rPr>
        <w:t>二十</w:t>
      </w:r>
      <w:r w:rsidR="00437F51">
        <w:rPr>
          <w:rFonts w:eastAsia="標楷體" w:hAnsi="標楷體" w:hint="eastAsia"/>
          <w:sz w:val="28"/>
          <w:szCs w:val="28"/>
        </w:rPr>
        <w:t>一</w:t>
      </w:r>
      <w:r w:rsidRPr="001412A5">
        <w:rPr>
          <w:rFonts w:eastAsia="標楷體" w:hAnsi="標楷體" w:hint="eastAsia"/>
          <w:color w:val="000000"/>
          <w:sz w:val="28"/>
          <w:szCs w:val="28"/>
        </w:rPr>
        <w:t>條</w:t>
      </w:r>
      <w:r w:rsidR="00103B61" w:rsidRPr="001412A5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1412A5">
        <w:rPr>
          <w:rFonts w:eastAsia="標楷體" w:hAnsi="標楷體" w:hint="eastAsia"/>
          <w:color w:val="000000"/>
          <w:sz w:val="28"/>
          <w:szCs w:val="28"/>
        </w:rPr>
        <w:t>等級</w:t>
      </w:r>
      <w:r w:rsidRPr="001412A5">
        <w:rPr>
          <w:rFonts w:eastAsia="標楷體" w:hAnsi="標楷體" w:hint="eastAsia"/>
          <w:color w:val="000000"/>
          <w:sz w:val="28"/>
          <w:szCs w:val="28"/>
        </w:rPr>
        <w:t xml:space="preserve">: </w:t>
      </w:r>
      <w:r w:rsidR="00B80A78" w:rsidRPr="001412A5">
        <w:rPr>
          <w:rFonts w:eastAsia="標楷體" w:hAnsi="標楷體" w:hint="eastAsia"/>
          <w:color w:val="000000"/>
          <w:sz w:val="28"/>
          <w:szCs w:val="28"/>
        </w:rPr>
        <w:t>初級</w:t>
      </w:r>
    </w:p>
    <w:p w:rsidR="006A265A" w:rsidRPr="007366C1" w:rsidRDefault="00A4090F" w:rsidP="006A265A">
      <w:pPr>
        <w:pStyle w:val="Default"/>
        <w:spacing w:before="40" w:after="40"/>
        <w:jc w:val="right"/>
        <w:rPr>
          <w:rFonts w:ascii="Times New Roman" w:eastAsia="標楷體" w:hAnsi="標楷體" w:cs="Times New Roman"/>
        </w:rPr>
      </w:pPr>
      <w:r w:rsidRPr="007366C1">
        <w:rPr>
          <w:rFonts w:ascii="Times New Roman" w:eastAsia="標楷體" w:hAnsi="標楷體" w:cs="Times New Roman"/>
        </w:rPr>
        <w:t>資料來源：</w:t>
      </w:r>
      <w:r w:rsidR="00D8414B">
        <w:rPr>
          <w:rFonts w:ascii="Times New Roman" w:eastAsia="標楷體" w:hAnsi="標楷體" w:cs="Times New Roman" w:hint="eastAsia"/>
        </w:rPr>
        <w:t>2011</w:t>
      </w:r>
      <w:r w:rsidR="009C4740" w:rsidRPr="007366C1">
        <w:rPr>
          <w:rFonts w:ascii="Times New Roman" w:eastAsia="標楷體" w:hAnsi="標楷體" w:cs="Times New Roman" w:hint="eastAsia"/>
        </w:rPr>
        <w:t>年花旗銀行</w:t>
      </w:r>
      <w:r w:rsidR="009C4740" w:rsidRPr="007366C1">
        <w:rPr>
          <w:rFonts w:ascii="Times New Roman" w:eastAsia="標楷體" w:hAnsi="標楷體" w:cs="Times New Roman"/>
        </w:rPr>
        <w:t>Global Citizenship Report</w:t>
      </w:r>
    </w:p>
    <w:p w:rsidR="00AF47D9" w:rsidRPr="001412A5" w:rsidRDefault="001412A5" w:rsidP="00A81743">
      <w:pPr>
        <w:snapToGrid w:val="0"/>
        <w:spacing w:beforeLines="200" w:before="720" w:line="360" w:lineRule="auto"/>
        <w:rPr>
          <w:rFonts w:eastAsia="標楷體" w:hAnsi="標楷體"/>
          <w:i/>
          <w:color w:val="000000"/>
          <w:sz w:val="28"/>
          <w:szCs w:val="28"/>
        </w:rPr>
      </w:pPr>
      <w:r w:rsidRPr="001412A5">
        <w:rPr>
          <w:rFonts w:eastAsia="標楷體" w:hAnsi="標楷體" w:hint="eastAsia"/>
          <w:i/>
          <w:color w:val="000000"/>
          <w:sz w:val="28"/>
          <w:szCs w:val="28"/>
        </w:rPr>
        <w:t>花旗</w:t>
      </w:r>
      <w:r w:rsidR="00D8414B">
        <w:rPr>
          <w:rFonts w:eastAsia="標楷體" w:hAnsi="標楷體" w:hint="eastAsia"/>
          <w:i/>
          <w:color w:val="000000"/>
          <w:sz w:val="28"/>
          <w:szCs w:val="28"/>
        </w:rPr>
        <w:t>在工作場所提供員工健身及醫療器材，並依照地區特性發展不同的健康教育計畫。</w:t>
      </w:r>
      <w:proofErr w:type="gramStart"/>
      <w:r w:rsidR="00D8414B">
        <w:rPr>
          <w:rFonts w:eastAsia="標楷體" w:hAnsi="標楷體" w:hint="eastAsia"/>
          <w:i/>
          <w:color w:val="000000"/>
          <w:sz w:val="28"/>
          <w:szCs w:val="28"/>
        </w:rPr>
        <w:t>此外，</w:t>
      </w:r>
      <w:proofErr w:type="gramEnd"/>
      <w:r w:rsidR="00D8414B">
        <w:rPr>
          <w:rFonts w:eastAsia="標楷體" w:hAnsi="標楷體" w:hint="eastAsia"/>
          <w:i/>
          <w:color w:val="000000"/>
          <w:sz w:val="28"/>
          <w:szCs w:val="28"/>
        </w:rPr>
        <w:t>亦透過網路系統及網站推動彈性工作的環境，企圖改變公司的工作文化。</w:t>
      </w:r>
    </w:p>
    <w:p w:rsidR="004F17A4" w:rsidRPr="00117EC9" w:rsidRDefault="00F8659E" w:rsidP="00A81743">
      <w:pPr>
        <w:snapToGrid w:val="0"/>
        <w:spacing w:beforeLines="150" w:before="540" w:line="360" w:lineRule="auto"/>
        <w:rPr>
          <w:rFonts w:eastAsia="標楷體"/>
          <w:b/>
          <w:sz w:val="28"/>
          <w:szCs w:val="28"/>
        </w:rPr>
      </w:pPr>
      <w:r w:rsidRPr="007977D0">
        <w:rPr>
          <w:rFonts w:eastAsia="標楷體" w:hint="eastAsia"/>
          <w:b/>
          <w:sz w:val="28"/>
          <w:szCs w:val="28"/>
        </w:rPr>
        <w:t>企業概述</w:t>
      </w:r>
    </w:p>
    <w:p w:rsidR="00F8659E" w:rsidRPr="00F8659E" w:rsidRDefault="00F8659E" w:rsidP="007977D0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  <w:lang w:eastAsia="zh-CN"/>
        </w:rPr>
      </w:pPr>
      <w:r w:rsidRPr="00F8659E">
        <w:rPr>
          <w:rFonts w:eastAsia="標楷體" w:hAnsi="標楷體" w:hint="eastAsia"/>
          <w:sz w:val="28"/>
          <w:szCs w:val="28"/>
        </w:rPr>
        <w:t>花旗銀行</w:t>
      </w:r>
      <w:r w:rsidRPr="00F8659E">
        <w:rPr>
          <w:rFonts w:eastAsia="標楷體" w:hAnsi="標楷體"/>
          <w:sz w:val="28"/>
          <w:szCs w:val="28"/>
        </w:rPr>
        <w:t>(Citibank)</w:t>
      </w:r>
      <w:r w:rsidRPr="00F8659E">
        <w:rPr>
          <w:rFonts w:eastAsia="標楷體" w:hAnsi="標楷體" w:hint="eastAsia"/>
          <w:sz w:val="28"/>
          <w:szCs w:val="28"/>
        </w:rPr>
        <w:t>是花旗集團</w:t>
      </w:r>
      <w:r w:rsidRPr="00F8659E">
        <w:rPr>
          <w:rFonts w:eastAsia="標楷體" w:hAnsi="標楷體"/>
          <w:sz w:val="28"/>
          <w:szCs w:val="28"/>
        </w:rPr>
        <w:t>(Citigroup)</w:t>
      </w:r>
      <w:r w:rsidRPr="00F8659E">
        <w:rPr>
          <w:rFonts w:eastAsia="標楷體" w:hAnsi="標楷體" w:hint="eastAsia"/>
          <w:sz w:val="28"/>
          <w:szCs w:val="28"/>
        </w:rPr>
        <w:t>屬下的一家零售銀行，其主要前身是</w:t>
      </w:r>
      <w:r w:rsidRPr="00F8659E">
        <w:rPr>
          <w:rFonts w:eastAsia="標楷體" w:hAnsi="標楷體"/>
          <w:sz w:val="28"/>
          <w:szCs w:val="28"/>
        </w:rPr>
        <w:t>1812</w:t>
      </w:r>
      <w:r w:rsidRPr="00F8659E">
        <w:rPr>
          <w:rFonts w:eastAsia="標楷體" w:hAnsi="標楷體" w:hint="eastAsia"/>
          <w:sz w:val="28"/>
          <w:szCs w:val="28"/>
        </w:rPr>
        <w:t>年</w:t>
      </w:r>
      <w:r w:rsidRPr="00F8659E">
        <w:rPr>
          <w:rFonts w:eastAsia="標楷體" w:hAnsi="標楷體"/>
          <w:sz w:val="28"/>
          <w:szCs w:val="28"/>
        </w:rPr>
        <w:t>6</w:t>
      </w:r>
      <w:r w:rsidRPr="00F8659E">
        <w:rPr>
          <w:rFonts w:eastAsia="標楷體" w:hAnsi="標楷體" w:hint="eastAsia"/>
          <w:sz w:val="28"/>
          <w:szCs w:val="28"/>
        </w:rPr>
        <w:t>月</w:t>
      </w:r>
      <w:r w:rsidRPr="00F8659E">
        <w:rPr>
          <w:rFonts w:eastAsia="標楷體" w:hAnsi="標楷體"/>
          <w:sz w:val="28"/>
          <w:szCs w:val="28"/>
        </w:rPr>
        <w:t>16</w:t>
      </w:r>
      <w:r w:rsidRPr="00F8659E">
        <w:rPr>
          <w:rFonts w:eastAsia="標楷體" w:hAnsi="標楷體" w:hint="eastAsia"/>
          <w:sz w:val="28"/>
          <w:szCs w:val="28"/>
        </w:rPr>
        <w:t>日成立的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紐約城市銀行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(City Bank of New York)</w:t>
      </w:r>
      <w:r w:rsidRPr="00F8659E">
        <w:rPr>
          <w:rFonts w:eastAsia="標楷體" w:hAnsi="標楷體" w:hint="eastAsia"/>
          <w:sz w:val="28"/>
          <w:szCs w:val="28"/>
        </w:rPr>
        <w:t>，經過近兩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世紀的發展、並購，已成為美國最大的銀行，也是一間在全球近五十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國家及地區設有分支機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搆</w:t>
      </w:r>
      <w:proofErr w:type="gramEnd"/>
      <w:r w:rsidRPr="00F8659E">
        <w:rPr>
          <w:rFonts w:eastAsia="標楷體" w:hAnsi="標楷體" w:hint="eastAsia"/>
          <w:sz w:val="28"/>
          <w:szCs w:val="28"/>
        </w:rPr>
        <w:t>的國際大銀行。</w:t>
      </w:r>
      <w:r w:rsidRPr="00F8659E">
        <w:rPr>
          <w:rFonts w:eastAsia="標楷體" w:hAnsi="標楷體"/>
          <w:sz w:val="28"/>
          <w:szCs w:val="28"/>
        </w:rPr>
        <w:t>1998</w:t>
      </w:r>
      <w:r w:rsidRPr="00F8659E">
        <w:rPr>
          <w:rFonts w:eastAsia="標楷體" w:hAnsi="標楷體" w:hint="eastAsia"/>
          <w:sz w:val="28"/>
          <w:szCs w:val="28"/>
        </w:rPr>
        <w:t>年</w:t>
      </w:r>
      <w:r w:rsidRPr="00F8659E">
        <w:rPr>
          <w:rFonts w:eastAsia="標楷體" w:hAnsi="標楷體"/>
          <w:sz w:val="28"/>
          <w:szCs w:val="28"/>
        </w:rPr>
        <w:t>10</w:t>
      </w:r>
      <w:r w:rsidRPr="00F8659E">
        <w:rPr>
          <w:rFonts w:eastAsia="標楷體" w:hAnsi="標楷體" w:hint="eastAsia"/>
          <w:sz w:val="28"/>
          <w:szCs w:val="28"/>
        </w:rPr>
        <w:t>月花旗銀行的母公司及控股公司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花旗公司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(Citicorp)</w:t>
      </w:r>
      <w:r w:rsidRPr="00F8659E">
        <w:rPr>
          <w:rFonts w:eastAsia="標楷體" w:hAnsi="標楷體" w:hint="eastAsia"/>
          <w:sz w:val="28"/>
          <w:szCs w:val="28"/>
        </w:rPr>
        <w:t>與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旅行家集團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/>
          <w:sz w:val="28"/>
          <w:szCs w:val="28"/>
        </w:rPr>
        <w:t>(Travelers Group)</w:t>
      </w:r>
      <w:r w:rsidRPr="00F8659E">
        <w:rPr>
          <w:rFonts w:eastAsia="標楷體" w:hAnsi="標楷體" w:hint="eastAsia"/>
          <w:sz w:val="28"/>
          <w:szCs w:val="28"/>
        </w:rPr>
        <w:t>合併組成花旗集團，此後花旗銀行繼續保持為花旗集團</w:t>
      </w:r>
      <w:r w:rsidRPr="00F8659E">
        <w:rPr>
          <w:rFonts w:eastAsia="標楷體" w:hAnsi="標楷體"/>
          <w:sz w:val="28"/>
          <w:szCs w:val="28"/>
        </w:rPr>
        <w:t>“</w:t>
      </w:r>
      <w:r w:rsidRPr="00F8659E">
        <w:rPr>
          <w:rFonts w:eastAsia="標楷體" w:hAnsi="標楷體" w:hint="eastAsia"/>
          <w:sz w:val="28"/>
          <w:szCs w:val="28"/>
        </w:rPr>
        <w:t>紅雨傘</w:t>
      </w:r>
      <w:r w:rsidRPr="00F8659E">
        <w:rPr>
          <w:rFonts w:eastAsia="標楷體" w:hAnsi="標楷體"/>
          <w:sz w:val="28"/>
          <w:szCs w:val="28"/>
        </w:rPr>
        <w:t>”</w:t>
      </w:r>
      <w:r w:rsidRPr="00F8659E">
        <w:rPr>
          <w:rFonts w:eastAsia="標楷體" w:hAnsi="標楷體" w:hint="eastAsia"/>
          <w:sz w:val="28"/>
          <w:szCs w:val="28"/>
        </w:rPr>
        <w:t>旗下的強勢品牌。</w:t>
      </w:r>
      <w:r w:rsidRPr="00F8659E">
        <w:rPr>
          <w:rFonts w:eastAsia="標楷體" w:hAnsi="標楷體"/>
          <w:sz w:val="28"/>
          <w:szCs w:val="28"/>
        </w:rPr>
        <w:t xml:space="preserve"> </w:t>
      </w:r>
    </w:p>
    <w:p w:rsidR="00F8659E" w:rsidRPr="00F8659E" w:rsidRDefault="00F8659E" w:rsidP="007977D0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</w:rPr>
      </w:pPr>
      <w:r w:rsidRPr="00F8659E">
        <w:rPr>
          <w:rFonts w:eastAsia="標楷體" w:hAnsi="標楷體" w:hint="eastAsia"/>
          <w:sz w:val="28"/>
          <w:szCs w:val="28"/>
        </w:rPr>
        <w:t>花旗銀行是眾所公認的積極求新又專業化的銀行，在臺灣市場上一直居於領導地位。隨著臺灣經濟的發展與金融的自由化，現在花旗銀行就存款、資產總值，獲利情況及營業範圍而言，已成為國內規模最大的外商銀行。</w:t>
      </w:r>
      <w:r w:rsidRPr="00F8659E">
        <w:rPr>
          <w:rFonts w:eastAsia="標楷體" w:hAnsi="標楷體"/>
          <w:sz w:val="28"/>
          <w:szCs w:val="28"/>
        </w:rPr>
        <w:t xml:space="preserve"> </w:t>
      </w:r>
    </w:p>
    <w:p w:rsidR="00F8659E" w:rsidRPr="00F8659E" w:rsidRDefault="00F8659E" w:rsidP="007977D0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</w:rPr>
      </w:pPr>
      <w:r w:rsidRPr="00F8659E">
        <w:rPr>
          <w:rFonts w:eastAsia="標楷體" w:hAnsi="標楷體" w:hint="eastAsia"/>
          <w:sz w:val="28"/>
          <w:szCs w:val="28"/>
        </w:rPr>
        <w:t>花旗集團是全球最大的金融服務公司，目前在全球共有四千多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個</w:t>
      </w:r>
      <w:proofErr w:type="gramEnd"/>
      <w:r w:rsidRPr="00F8659E">
        <w:rPr>
          <w:rFonts w:eastAsia="標楷體" w:hAnsi="標楷體" w:hint="eastAsia"/>
          <w:sz w:val="28"/>
          <w:szCs w:val="28"/>
        </w:rPr>
        <w:t>分支機</w:t>
      </w:r>
      <w:proofErr w:type="gramStart"/>
      <w:r w:rsidRPr="00F8659E">
        <w:rPr>
          <w:rFonts w:eastAsia="標楷體" w:hAnsi="標楷體" w:hint="eastAsia"/>
          <w:sz w:val="28"/>
          <w:szCs w:val="28"/>
        </w:rPr>
        <w:t>搆</w:t>
      </w:r>
      <w:proofErr w:type="gramEnd"/>
      <w:r w:rsidRPr="00F8659E">
        <w:rPr>
          <w:rFonts w:eastAsia="標楷體" w:hAnsi="標楷體" w:hint="eastAsia"/>
          <w:sz w:val="28"/>
          <w:szCs w:val="28"/>
        </w:rPr>
        <w:t>，業務範圍包括消費金融、企業金融、投資銀行、私人銀行、保險、</w:t>
      </w:r>
      <w:r w:rsidR="007977D0" w:rsidRPr="007977D0">
        <w:rPr>
          <w:rFonts w:eastAsia="標楷體" w:hAnsi="標楷體" w:hint="eastAsia"/>
          <w:sz w:val="28"/>
          <w:szCs w:val="28"/>
        </w:rPr>
        <w:t>證券經紀</w:t>
      </w:r>
      <w:r w:rsidRPr="00F8659E">
        <w:rPr>
          <w:rFonts w:eastAsia="標楷體" w:hAnsi="標楷體"/>
          <w:sz w:val="28"/>
          <w:szCs w:val="28"/>
        </w:rPr>
        <w:t>及</w:t>
      </w:r>
      <w:r w:rsidR="007977D0">
        <w:rPr>
          <w:rFonts w:eastAsia="標楷體" w:hAnsi="標楷體" w:hint="eastAsia"/>
          <w:sz w:val="28"/>
          <w:szCs w:val="28"/>
        </w:rPr>
        <w:t>資產管理</w:t>
      </w:r>
      <w:r w:rsidRPr="00F8659E">
        <w:rPr>
          <w:rFonts w:eastAsia="標楷體" w:hAnsi="標楷體"/>
          <w:sz w:val="28"/>
          <w:szCs w:val="28"/>
        </w:rPr>
        <w:t>管理服</w:t>
      </w:r>
      <w:r w:rsidR="007977D0">
        <w:rPr>
          <w:rFonts w:eastAsia="標楷體" w:hAnsi="標楷體" w:hint="eastAsia"/>
          <w:sz w:val="28"/>
          <w:szCs w:val="28"/>
        </w:rPr>
        <w:t>務</w:t>
      </w:r>
      <w:r w:rsidRPr="00F8659E">
        <w:rPr>
          <w:rFonts w:eastAsia="標楷體" w:hAnsi="標楷體"/>
          <w:sz w:val="28"/>
          <w:szCs w:val="28"/>
        </w:rPr>
        <w:t>等。</w:t>
      </w:r>
    </w:p>
    <w:p w:rsidR="00A352E3" w:rsidRDefault="00A352E3" w:rsidP="00A81743">
      <w:pPr>
        <w:snapToGrid w:val="0"/>
        <w:spacing w:beforeLines="150" w:before="540" w:line="360" w:lineRule="auto"/>
        <w:rPr>
          <w:rFonts w:eastAsia="標楷體"/>
          <w:b/>
          <w:sz w:val="28"/>
          <w:szCs w:val="28"/>
        </w:rPr>
      </w:pPr>
      <w:bookmarkStart w:id="0" w:name="_GoBack"/>
      <w:r w:rsidRPr="00117EC9">
        <w:rPr>
          <w:rFonts w:eastAsia="標楷體" w:hint="eastAsia"/>
          <w:b/>
          <w:sz w:val="28"/>
          <w:szCs w:val="28"/>
        </w:rPr>
        <w:t>案例描述</w:t>
      </w:r>
    </w:p>
    <w:bookmarkEnd w:id="0"/>
    <w:p w:rsidR="003D3FB9" w:rsidRDefault="002939CC" w:rsidP="007977D0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  <w:lang w:val="es-ES"/>
        </w:rPr>
      </w:pPr>
      <w:r>
        <w:rPr>
          <w:rFonts w:eastAsia="標楷體" w:hAnsi="標楷體" w:hint="eastAsia"/>
          <w:sz w:val="28"/>
          <w:szCs w:val="28"/>
        </w:rPr>
        <w:t>花旗員工大多已在辦公室工作為主，因此公司針對久坐不動的相關問題，協助員工改善其建康狀況。各地區都因地制宜地設計相關計畫，</w:t>
      </w:r>
      <w:r>
        <w:rPr>
          <w:rFonts w:eastAsia="標楷體" w:hAnsi="標楷體" w:hint="eastAsia"/>
          <w:sz w:val="28"/>
          <w:szCs w:val="28"/>
          <w:lang w:val="es-ES"/>
        </w:rPr>
        <w:t>包含辦公室現場的</w:t>
      </w:r>
      <w:r>
        <w:rPr>
          <w:rFonts w:eastAsia="標楷體" w:hAnsi="標楷體" w:hint="eastAsia"/>
          <w:sz w:val="28"/>
          <w:szCs w:val="28"/>
          <w:lang w:val="es-ES"/>
        </w:rPr>
        <w:lastRenderedPageBreak/>
        <w:t>醫療及健身設施。在英國及美國，員工可</w:t>
      </w:r>
      <w:proofErr w:type="gramStart"/>
      <w:r>
        <w:rPr>
          <w:rFonts w:eastAsia="標楷體" w:hAnsi="標楷體" w:hint="eastAsia"/>
          <w:sz w:val="28"/>
          <w:szCs w:val="28"/>
          <w:lang w:val="es-ES"/>
        </w:rPr>
        <w:t>獲得線上的</w:t>
      </w:r>
      <w:proofErr w:type="gramEnd"/>
      <w:r>
        <w:rPr>
          <w:rFonts w:eastAsia="標楷體" w:hAnsi="標楷體" w:hint="eastAsia"/>
          <w:sz w:val="28"/>
          <w:szCs w:val="28"/>
          <w:lang w:val="es-ES"/>
        </w:rPr>
        <w:t>人體工學訓練，在越南，公司針對高傳染性的疾病進行預防教育，在英國則有包含膽固醇檢測等多種健康教育及監控計畫。</w:t>
      </w:r>
      <w:r w:rsidR="00F80B99">
        <w:rPr>
          <w:rFonts w:eastAsia="標楷體" w:hAnsi="標楷體" w:hint="eastAsia"/>
          <w:sz w:val="28"/>
          <w:szCs w:val="28"/>
          <w:lang w:val="es-ES"/>
        </w:rPr>
        <w:t>另外公司也提供免費疫苗、戒菸、營養諮詢口腔癌與皮膚癌檢測、乳房</w:t>
      </w:r>
      <w:r w:rsidR="00F80B99">
        <w:rPr>
          <w:rFonts w:eastAsia="標楷體" w:hAnsi="標楷體" w:hint="eastAsia"/>
          <w:sz w:val="28"/>
          <w:szCs w:val="28"/>
          <w:lang w:val="es-ES"/>
        </w:rPr>
        <w:t>X</w:t>
      </w:r>
      <w:r w:rsidR="00F80B99">
        <w:rPr>
          <w:rFonts w:eastAsia="標楷體" w:hAnsi="標楷體" w:hint="eastAsia"/>
          <w:sz w:val="28"/>
          <w:szCs w:val="28"/>
          <w:lang w:val="es-ES"/>
        </w:rPr>
        <w:t>光檢查等服務。</w:t>
      </w:r>
    </w:p>
    <w:p w:rsidR="00F80B99" w:rsidRPr="002939CC" w:rsidRDefault="00F80B99" w:rsidP="00BC747E">
      <w:pPr>
        <w:snapToGrid w:val="0"/>
        <w:spacing w:beforeLines="50" w:before="180" w:line="360" w:lineRule="auto"/>
        <w:rPr>
          <w:rFonts w:eastAsia="標楷體" w:hAnsi="標楷體"/>
          <w:sz w:val="28"/>
          <w:szCs w:val="28"/>
          <w:lang w:val="es-ES"/>
        </w:rPr>
      </w:pPr>
      <w:r>
        <w:rPr>
          <w:rFonts w:eastAsia="標楷體" w:hAnsi="標楷體" w:hint="eastAsia"/>
          <w:sz w:val="28"/>
          <w:szCs w:val="28"/>
          <w:lang w:val="es-ES"/>
        </w:rPr>
        <w:t>為提升員工狀態並吸引優秀人才，花旗銀行推行彈性工作計畫，透過完善的線上系統，所有員工都可向主管或人資部門提出彈性上班的需求，如遠端工作、彈性上下班時間等。花旗銀行</w:t>
      </w:r>
      <w:proofErr w:type="gramStart"/>
      <w:r>
        <w:rPr>
          <w:rFonts w:eastAsia="標楷體" w:hAnsi="標楷體" w:hint="eastAsia"/>
          <w:sz w:val="28"/>
          <w:szCs w:val="28"/>
          <w:lang w:val="es-ES"/>
        </w:rPr>
        <w:t>透過線上教育</w:t>
      </w:r>
      <w:proofErr w:type="gramEnd"/>
      <w:r>
        <w:rPr>
          <w:rFonts w:eastAsia="標楷體" w:hAnsi="標楷體" w:hint="eastAsia"/>
          <w:sz w:val="28"/>
          <w:szCs w:val="28"/>
          <w:lang w:val="es-ES"/>
        </w:rPr>
        <w:t>及資訊，讓員工及其主管學習如何適應彈性工作的環境，改變其公司文化。</w:t>
      </w:r>
      <w:proofErr w:type="gramStart"/>
      <w:r>
        <w:rPr>
          <w:rFonts w:eastAsia="標楷體" w:hAnsi="標楷體" w:hint="eastAsia"/>
          <w:sz w:val="28"/>
          <w:szCs w:val="28"/>
          <w:lang w:val="es-ES"/>
        </w:rPr>
        <w:t>此外，</w:t>
      </w:r>
      <w:proofErr w:type="gramEnd"/>
      <w:r>
        <w:rPr>
          <w:rFonts w:eastAsia="標楷體" w:hAnsi="標楷體" w:hint="eastAsia"/>
          <w:sz w:val="28"/>
          <w:szCs w:val="28"/>
          <w:lang w:val="es-ES"/>
        </w:rPr>
        <w:t>花旗銀行也在美國及歐洲提供員工幼兒托育及老人照護的服務。</w:t>
      </w:r>
    </w:p>
    <w:sectPr w:rsidR="00F80B99" w:rsidRPr="002939CC" w:rsidSect="00D259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B5" w:rsidRDefault="003065B5">
      <w:r>
        <w:separator/>
      </w:r>
    </w:p>
  </w:endnote>
  <w:endnote w:type="continuationSeparator" w:id="0">
    <w:p w:rsidR="003065B5" w:rsidRDefault="0030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state-Ligh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-Lt">
    <w:altName w:val="AR MingtiM BIG-5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Ming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B5" w:rsidRDefault="003065B5">
      <w:r>
        <w:separator/>
      </w:r>
    </w:p>
  </w:footnote>
  <w:footnote w:type="continuationSeparator" w:id="0">
    <w:p w:rsidR="003065B5" w:rsidRDefault="0030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C170D"/>
    <w:multiLevelType w:val="hybridMultilevel"/>
    <w:tmpl w:val="D76418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7F3CD7"/>
    <w:multiLevelType w:val="hybridMultilevel"/>
    <w:tmpl w:val="894AA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A7657B"/>
    <w:multiLevelType w:val="hybridMultilevel"/>
    <w:tmpl w:val="EC60A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E909D9"/>
    <w:multiLevelType w:val="hybridMultilevel"/>
    <w:tmpl w:val="98B4B33C"/>
    <w:lvl w:ilvl="0" w:tplc="D1483938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916947"/>
    <w:multiLevelType w:val="hybridMultilevel"/>
    <w:tmpl w:val="7BAE6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70419CA">
      <w:numFmt w:val="bullet"/>
      <w:lvlText w:val="•"/>
      <w:lvlJc w:val="left"/>
      <w:pPr>
        <w:ind w:left="840" w:hanging="360"/>
      </w:pPr>
      <w:rPr>
        <w:rFonts w:ascii="Interstate-Light" w:eastAsia="Interstate-Light" w:hAnsi="Interstate-Light" w:cs="Interstate-Light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E10867"/>
    <w:multiLevelType w:val="hybridMultilevel"/>
    <w:tmpl w:val="0576F848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F05E22"/>
    <w:multiLevelType w:val="hybridMultilevel"/>
    <w:tmpl w:val="EF8C52C8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E407FC"/>
    <w:multiLevelType w:val="hybridMultilevel"/>
    <w:tmpl w:val="DCB6F55C"/>
    <w:lvl w:ilvl="0" w:tplc="CF9E713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DFLiHei-Lt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CA3679"/>
    <w:multiLevelType w:val="hybridMultilevel"/>
    <w:tmpl w:val="FF0E4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7A4"/>
    <w:rsid w:val="000027CB"/>
    <w:rsid w:val="00035766"/>
    <w:rsid w:val="000441ED"/>
    <w:rsid w:val="000B158F"/>
    <w:rsid w:val="000B3B80"/>
    <w:rsid w:val="00103B61"/>
    <w:rsid w:val="00117EC9"/>
    <w:rsid w:val="001412A5"/>
    <w:rsid w:val="00145CE8"/>
    <w:rsid w:val="00175079"/>
    <w:rsid w:val="0019149F"/>
    <w:rsid w:val="001B42AE"/>
    <w:rsid w:val="00210670"/>
    <w:rsid w:val="00240CDF"/>
    <w:rsid w:val="002504A2"/>
    <w:rsid w:val="002939CC"/>
    <w:rsid w:val="002B6860"/>
    <w:rsid w:val="003065B5"/>
    <w:rsid w:val="00374C79"/>
    <w:rsid w:val="0039587D"/>
    <w:rsid w:val="003A2FB7"/>
    <w:rsid w:val="003D3FB9"/>
    <w:rsid w:val="003E1D05"/>
    <w:rsid w:val="0041292E"/>
    <w:rsid w:val="00437F51"/>
    <w:rsid w:val="0048184F"/>
    <w:rsid w:val="004930A3"/>
    <w:rsid w:val="004C645C"/>
    <w:rsid w:val="004E5BA9"/>
    <w:rsid w:val="004F17A4"/>
    <w:rsid w:val="004F22C6"/>
    <w:rsid w:val="0051735D"/>
    <w:rsid w:val="005436F6"/>
    <w:rsid w:val="00571513"/>
    <w:rsid w:val="00586B25"/>
    <w:rsid w:val="005C2B97"/>
    <w:rsid w:val="005C728E"/>
    <w:rsid w:val="006149A6"/>
    <w:rsid w:val="006329C8"/>
    <w:rsid w:val="006A1D3C"/>
    <w:rsid w:val="006A265A"/>
    <w:rsid w:val="007016FA"/>
    <w:rsid w:val="00705F97"/>
    <w:rsid w:val="007366C1"/>
    <w:rsid w:val="00760E73"/>
    <w:rsid w:val="007724F3"/>
    <w:rsid w:val="00772F6F"/>
    <w:rsid w:val="0078586A"/>
    <w:rsid w:val="00786BF2"/>
    <w:rsid w:val="007977D0"/>
    <w:rsid w:val="007F0E01"/>
    <w:rsid w:val="00880E59"/>
    <w:rsid w:val="008A4A2B"/>
    <w:rsid w:val="008B08D5"/>
    <w:rsid w:val="008C469D"/>
    <w:rsid w:val="008C6A1C"/>
    <w:rsid w:val="008D2A82"/>
    <w:rsid w:val="008F10EA"/>
    <w:rsid w:val="00903254"/>
    <w:rsid w:val="0096045C"/>
    <w:rsid w:val="009B4CFD"/>
    <w:rsid w:val="009C4740"/>
    <w:rsid w:val="009E0031"/>
    <w:rsid w:val="009F13F2"/>
    <w:rsid w:val="00A352E3"/>
    <w:rsid w:val="00A37E56"/>
    <w:rsid w:val="00A4090F"/>
    <w:rsid w:val="00A73F36"/>
    <w:rsid w:val="00A81743"/>
    <w:rsid w:val="00A86FFB"/>
    <w:rsid w:val="00AC2936"/>
    <w:rsid w:val="00AF1F7A"/>
    <w:rsid w:val="00AF2E0D"/>
    <w:rsid w:val="00AF47D9"/>
    <w:rsid w:val="00B270EF"/>
    <w:rsid w:val="00B32B4C"/>
    <w:rsid w:val="00B80A78"/>
    <w:rsid w:val="00BC142A"/>
    <w:rsid w:val="00BC747E"/>
    <w:rsid w:val="00BD0C0B"/>
    <w:rsid w:val="00C272A6"/>
    <w:rsid w:val="00C30181"/>
    <w:rsid w:val="00C44566"/>
    <w:rsid w:val="00C55AF7"/>
    <w:rsid w:val="00C76DB6"/>
    <w:rsid w:val="00C96D0E"/>
    <w:rsid w:val="00CE0519"/>
    <w:rsid w:val="00D06AE3"/>
    <w:rsid w:val="00D25915"/>
    <w:rsid w:val="00D624BD"/>
    <w:rsid w:val="00D8414B"/>
    <w:rsid w:val="00D97F5C"/>
    <w:rsid w:val="00DB08D0"/>
    <w:rsid w:val="00DD29BF"/>
    <w:rsid w:val="00E03C3A"/>
    <w:rsid w:val="00E34F63"/>
    <w:rsid w:val="00E7501C"/>
    <w:rsid w:val="00E83D2D"/>
    <w:rsid w:val="00E90369"/>
    <w:rsid w:val="00ED7188"/>
    <w:rsid w:val="00EF2DB6"/>
    <w:rsid w:val="00EF5F42"/>
    <w:rsid w:val="00F13C7A"/>
    <w:rsid w:val="00F27C57"/>
    <w:rsid w:val="00F306FC"/>
    <w:rsid w:val="00F80B99"/>
    <w:rsid w:val="00F8659E"/>
    <w:rsid w:val="00F90998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1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2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27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B4CFD"/>
    <w:pPr>
      <w:widowControl w:val="0"/>
      <w:autoSpaceDE w:val="0"/>
      <w:autoSpaceDN w:val="0"/>
      <w:adjustRightInd w:val="0"/>
    </w:pPr>
    <w:rPr>
      <w:rFonts w:ascii="DFMingBold-B5" w:eastAsia="DFMingBold-B5" w:cs="DFMingBold-B5"/>
      <w:color w:val="000000"/>
      <w:sz w:val="24"/>
      <w:szCs w:val="24"/>
    </w:rPr>
  </w:style>
  <w:style w:type="character" w:customStyle="1" w:styleId="yqlink">
    <w:name w:val="yqlink"/>
    <w:basedOn w:val="a0"/>
    <w:rsid w:val="00F8659E"/>
  </w:style>
  <w:style w:type="paragraph" w:styleId="z-">
    <w:name w:val="HTML Top of Form"/>
    <w:basedOn w:val="a"/>
    <w:next w:val="a"/>
    <w:link w:val="z-0"/>
    <w:hidden/>
    <w:uiPriority w:val="99"/>
    <w:unhideWhenUsed/>
    <w:rsid w:val="00F8659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8659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8659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8659E"/>
    <w:rPr>
      <w:rFonts w:ascii="Arial" w:hAnsi="Arial" w:cs="Arial"/>
      <w:vanish/>
      <w:sz w:val="16"/>
      <w:szCs w:val="16"/>
    </w:rPr>
  </w:style>
  <w:style w:type="character" w:customStyle="1" w:styleId="googqs-tidbit-0">
    <w:name w:val="goog_qs-tidbit-0"/>
    <w:basedOn w:val="a0"/>
    <w:rsid w:val="005436F6"/>
  </w:style>
  <w:style w:type="character" w:styleId="a6">
    <w:name w:val="Hyperlink"/>
    <w:basedOn w:val="a0"/>
    <w:rsid w:val="005436F6"/>
    <w:rPr>
      <w:color w:val="0000FF"/>
      <w:u w:val="single"/>
    </w:rPr>
  </w:style>
  <w:style w:type="character" w:styleId="a7">
    <w:name w:val="Emphasis"/>
    <w:basedOn w:val="a0"/>
    <w:uiPriority w:val="20"/>
    <w:qFormat/>
    <w:rsid w:val="004930A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4930A3"/>
  </w:style>
  <w:style w:type="paragraph" w:styleId="Web">
    <w:name w:val="Normal (Web)"/>
    <w:basedOn w:val="a"/>
    <w:uiPriority w:val="99"/>
    <w:unhideWhenUsed/>
    <w:rsid w:val="006A26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horttext">
    <w:name w:val="short_text"/>
    <w:basedOn w:val="a0"/>
    <w:rsid w:val="008B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703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157">
              <w:marLeft w:val="0"/>
              <w:marRight w:val="561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588">
              <w:marLeft w:val="0"/>
              <w:marRight w:val="5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7EC"/>
            <w:right w:val="single" w:sz="6" w:space="0" w:color="CBD7EC"/>
          </w:divBdr>
          <w:divsChild>
            <w:div w:id="1035882556">
              <w:marLeft w:val="375"/>
              <w:marRight w:val="3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F7F1-7D8B-447B-8438-21D396E5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794</Words>
  <Characters>112</Characters>
  <Application>Microsoft Office Word</Application>
  <DocSecurity>0</DocSecurity>
  <Lines>1</Lines>
  <Paragraphs>1</Paragraphs>
  <ScaleCrop>false</ScaleCrop>
  <Company/>
  <LinksUpToDate>false</LinksUpToDate>
  <CharactersWithSpaces>905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http://www.iask.com/n?k=%D6%A4%C8%AF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http://www.citibank.com.tw/global_docs/chi/csr/index.htm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企業概述</dc:title>
  <dc:subject/>
  <dc:creator>Tony Mo</dc:creator>
  <cp:keywords/>
  <dc:description/>
  <cp:lastModifiedBy>Avis</cp:lastModifiedBy>
  <cp:revision>5</cp:revision>
  <dcterms:created xsi:type="dcterms:W3CDTF">2012-11-07T22:01:00Z</dcterms:created>
  <dcterms:modified xsi:type="dcterms:W3CDTF">2012-11-08T03:23:00Z</dcterms:modified>
</cp:coreProperties>
</file>