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01" w:rsidRDefault="00F8659E" w:rsidP="007F0E01">
      <w:pPr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花旗銀行</w:t>
      </w:r>
      <w:r w:rsidR="009B4CFD">
        <w:rPr>
          <w:rFonts w:eastAsia="標楷體" w:hAnsi="標楷體" w:hint="eastAsia"/>
          <w:sz w:val="32"/>
          <w:szCs w:val="32"/>
        </w:rPr>
        <w:t>的</w:t>
      </w:r>
      <w:r w:rsidR="00E813D6">
        <w:rPr>
          <w:rFonts w:eastAsia="標楷體" w:hAnsi="標楷體" w:hint="eastAsia"/>
          <w:sz w:val="32"/>
          <w:szCs w:val="32"/>
        </w:rPr>
        <w:t>環境</w:t>
      </w:r>
      <w:r w:rsidR="007E3A84">
        <w:rPr>
          <w:rFonts w:eastAsia="標楷體" w:hAnsi="標楷體" w:hint="eastAsia"/>
          <w:sz w:val="32"/>
          <w:szCs w:val="32"/>
        </w:rPr>
        <w:t>與社會風險</w:t>
      </w:r>
      <w:r w:rsidR="0061604A">
        <w:rPr>
          <w:rFonts w:eastAsia="標楷體" w:hAnsi="標楷體" w:hint="eastAsia"/>
          <w:sz w:val="32"/>
          <w:szCs w:val="32"/>
        </w:rPr>
        <w:t>管理</w:t>
      </w:r>
    </w:p>
    <w:p w:rsidR="007F0E01" w:rsidRDefault="007F0E01" w:rsidP="007F0E01">
      <w:pPr>
        <w:jc w:val="right"/>
        <w:rPr>
          <w:rFonts w:eastAsia="標楷體" w:hAnsi="標楷體"/>
          <w:sz w:val="28"/>
          <w:szCs w:val="28"/>
        </w:rPr>
      </w:pPr>
      <w:r w:rsidRPr="007F0E01">
        <w:rPr>
          <w:rFonts w:eastAsia="標楷體" w:hAnsi="標楷體" w:hint="eastAsia"/>
          <w:sz w:val="28"/>
          <w:szCs w:val="28"/>
        </w:rPr>
        <w:t>第</w:t>
      </w:r>
      <w:r w:rsidR="007E3A84">
        <w:rPr>
          <w:rFonts w:eastAsia="標楷體" w:hAnsi="標楷體" w:hint="eastAsia"/>
          <w:sz w:val="28"/>
          <w:szCs w:val="28"/>
        </w:rPr>
        <w:t>十二、</w:t>
      </w:r>
      <w:r w:rsidR="00E813D6">
        <w:rPr>
          <w:rFonts w:eastAsia="標楷體" w:hAnsi="標楷體" w:hint="eastAsia"/>
          <w:sz w:val="28"/>
          <w:szCs w:val="28"/>
        </w:rPr>
        <w:t>十四</w:t>
      </w:r>
      <w:r w:rsidRPr="007F0E01">
        <w:rPr>
          <w:rFonts w:eastAsia="標楷體" w:hAnsi="標楷體" w:hint="eastAsia"/>
          <w:sz w:val="28"/>
          <w:szCs w:val="28"/>
        </w:rPr>
        <w:t>條</w:t>
      </w:r>
      <w:r w:rsidR="00103B61">
        <w:rPr>
          <w:rFonts w:eastAsia="標楷體" w:hAnsi="標楷體" w:hint="eastAsia"/>
          <w:sz w:val="28"/>
          <w:szCs w:val="28"/>
        </w:rPr>
        <w:t xml:space="preserve"> </w:t>
      </w:r>
      <w:r w:rsidRPr="007F0E01">
        <w:rPr>
          <w:rFonts w:eastAsia="標楷體" w:hAnsi="標楷體" w:hint="eastAsia"/>
          <w:sz w:val="28"/>
          <w:szCs w:val="28"/>
        </w:rPr>
        <w:t>等級</w:t>
      </w:r>
      <w:r w:rsidRPr="007F0E01">
        <w:rPr>
          <w:rFonts w:eastAsia="標楷體" w:hAnsi="標楷體" w:hint="eastAsia"/>
          <w:sz w:val="28"/>
          <w:szCs w:val="28"/>
        </w:rPr>
        <w:t xml:space="preserve">: </w:t>
      </w:r>
      <w:r w:rsidR="009B4CFD" w:rsidRPr="00C44566">
        <w:rPr>
          <w:rFonts w:eastAsia="標楷體" w:hAnsi="標楷體" w:hint="eastAsia"/>
          <w:sz w:val="28"/>
          <w:szCs w:val="28"/>
        </w:rPr>
        <w:t>進階</w:t>
      </w:r>
    </w:p>
    <w:p w:rsidR="00A4090F" w:rsidRPr="007366C1" w:rsidRDefault="00A4090F" w:rsidP="00A4090F">
      <w:pPr>
        <w:pStyle w:val="Default"/>
        <w:spacing w:before="40" w:after="40"/>
        <w:jc w:val="right"/>
        <w:rPr>
          <w:rFonts w:ascii="Times New Roman" w:eastAsia="標楷體" w:hAnsi="標楷體" w:cs="Times New Roman"/>
        </w:rPr>
      </w:pPr>
      <w:r w:rsidRPr="007366C1">
        <w:rPr>
          <w:rFonts w:ascii="Times New Roman" w:eastAsia="標楷體" w:hAnsi="標楷體" w:cs="Times New Roman"/>
        </w:rPr>
        <w:t>資料來源：</w:t>
      </w:r>
      <w:r w:rsidR="002A3B6A" w:rsidRPr="007366C1">
        <w:rPr>
          <w:rFonts w:ascii="Times New Roman" w:eastAsia="標楷體" w:hAnsi="標楷體" w:cs="Times New Roman" w:hint="eastAsia"/>
        </w:rPr>
        <w:t xml:space="preserve"> </w:t>
      </w:r>
      <w:r w:rsidR="009C4740" w:rsidRPr="007366C1">
        <w:rPr>
          <w:rFonts w:ascii="Times New Roman" w:eastAsia="標楷體" w:hAnsi="標楷體" w:cs="Times New Roman" w:hint="eastAsia"/>
        </w:rPr>
        <w:t>201</w:t>
      </w:r>
      <w:r w:rsidR="00E813D6">
        <w:rPr>
          <w:rFonts w:ascii="Times New Roman" w:eastAsia="標楷體" w:hAnsi="標楷體" w:cs="Times New Roman" w:hint="eastAsia"/>
        </w:rPr>
        <w:t>1</w:t>
      </w:r>
      <w:r w:rsidR="009C4740" w:rsidRPr="007366C1">
        <w:rPr>
          <w:rFonts w:ascii="Times New Roman" w:eastAsia="標楷體" w:hAnsi="標楷體" w:cs="Times New Roman" w:hint="eastAsia"/>
        </w:rPr>
        <w:t>年花旗銀行</w:t>
      </w:r>
      <w:r w:rsidR="009C4740" w:rsidRPr="007366C1">
        <w:rPr>
          <w:rFonts w:ascii="Times New Roman" w:eastAsia="標楷體" w:hAnsi="標楷體" w:cs="Times New Roman"/>
        </w:rPr>
        <w:t>Global Citizenship Report</w:t>
      </w:r>
    </w:p>
    <w:p w:rsidR="00175079" w:rsidRPr="009C4740" w:rsidRDefault="00175079" w:rsidP="007C200C">
      <w:pPr>
        <w:autoSpaceDE w:val="0"/>
        <w:autoSpaceDN w:val="0"/>
        <w:adjustRightInd w:val="0"/>
        <w:snapToGrid w:val="0"/>
        <w:spacing w:beforeLines="200" w:before="720" w:line="360" w:lineRule="auto"/>
        <w:jc w:val="both"/>
        <w:rPr>
          <w:rFonts w:eastAsia="標楷體" w:hAnsi="標楷體"/>
          <w:i/>
          <w:color w:val="000000"/>
          <w:sz w:val="28"/>
          <w:szCs w:val="28"/>
        </w:rPr>
      </w:pPr>
      <w:r w:rsidRPr="009C4740">
        <w:rPr>
          <w:rFonts w:eastAsia="標楷體" w:hAnsi="標楷體" w:hint="eastAsia"/>
          <w:i/>
          <w:color w:val="000000"/>
          <w:sz w:val="28"/>
          <w:szCs w:val="28"/>
        </w:rPr>
        <w:t>花期銀行</w:t>
      </w:r>
      <w:r w:rsidR="00E813D6">
        <w:rPr>
          <w:rFonts w:eastAsia="標楷體" w:hAnsi="標楷體" w:hint="eastAsia"/>
          <w:i/>
          <w:color w:val="000000"/>
          <w:sz w:val="28"/>
          <w:szCs w:val="28"/>
        </w:rPr>
        <w:t>針對融資專案制訂環境與社會風險管理政策</w:t>
      </w:r>
      <w:r w:rsidR="007E3A84">
        <w:rPr>
          <w:rFonts w:eastAsia="標楷體" w:hAnsi="標楷體" w:hint="eastAsia"/>
          <w:i/>
          <w:color w:val="000000"/>
          <w:sz w:val="28"/>
          <w:szCs w:val="28"/>
        </w:rPr>
        <w:t>，並配合國際規範及內部制訂之標準，成立專責單位進行審查，協助客戶將低環境衝擊。</w:t>
      </w:r>
    </w:p>
    <w:p w:rsidR="004F17A4" w:rsidRPr="00117EC9" w:rsidRDefault="00F8659E" w:rsidP="007C200C">
      <w:pPr>
        <w:snapToGrid w:val="0"/>
        <w:spacing w:beforeLines="150" w:before="540" w:line="360" w:lineRule="auto"/>
        <w:rPr>
          <w:rFonts w:eastAsia="標楷體"/>
          <w:b/>
          <w:sz w:val="28"/>
          <w:szCs w:val="28"/>
        </w:rPr>
      </w:pPr>
      <w:r w:rsidRPr="0061604A">
        <w:rPr>
          <w:rFonts w:eastAsia="標楷體" w:hint="eastAsia"/>
          <w:b/>
          <w:sz w:val="28"/>
          <w:szCs w:val="28"/>
        </w:rPr>
        <w:t>企業概述</w:t>
      </w:r>
    </w:p>
    <w:p w:rsidR="00F8659E" w:rsidRPr="00F8659E" w:rsidRDefault="00F8659E" w:rsidP="0061604A">
      <w:pPr>
        <w:snapToGrid w:val="0"/>
        <w:spacing w:beforeLines="50" w:before="180" w:line="360" w:lineRule="auto"/>
        <w:rPr>
          <w:rFonts w:eastAsia="標楷體" w:hAnsi="標楷體"/>
          <w:sz w:val="28"/>
          <w:szCs w:val="28"/>
          <w:lang w:eastAsia="zh-CN"/>
        </w:rPr>
      </w:pPr>
      <w:r w:rsidRPr="00F8659E">
        <w:rPr>
          <w:rFonts w:eastAsia="標楷體" w:hAnsi="標楷體" w:hint="eastAsia"/>
          <w:sz w:val="28"/>
          <w:szCs w:val="28"/>
        </w:rPr>
        <w:t>花旗銀行</w:t>
      </w:r>
      <w:r w:rsidRPr="00F8659E">
        <w:rPr>
          <w:rFonts w:eastAsia="標楷體" w:hAnsi="標楷體"/>
          <w:sz w:val="28"/>
          <w:szCs w:val="28"/>
        </w:rPr>
        <w:t>(Citibank)</w:t>
      </w:r>
      <w:r w:rsidRPr="00F8659E">
        <w:rPr>
          <w:rFonts w:eastAsia="標楷體" w:hAnsi="標楷體" w:hint="eastAsia"/>
          <w:sz w:val="28"/>
          <w:szCs w:val="28"/>
        </w:rPr>
        <w:t>是花旗集團</w:t>
      </w:r>
      <w:r w:rsidRPr="00F8659E">
        <w:rPr>
          <w:rFonts w:eastAsia="標楷體" w:hAnsi="標楷體"/>
          <w:sz w:val="28"/>
          <w:szCs w:val="28"/>
        </w:rPr>
        <w:t>(Citigroup)</w:t>
      </w:r>
      <w:r w:rsidRPr="00F8659E">
        <w:rPr>
          <w:rFonts w:eastAsia="標楷體" w:hAnsi="標楷體" w:hint="eastAsia"/>
          <w:sz w:val="28"/>
          <w:szCs w:val="28"/>
        </w:rPr>
        <w:t>屬下的一家零售銀行，其主要前身是</w:t>
      </w:r>
      <w:r w:rsidRPr="00F8659E">
        <w:rPr>
          <w:rFonts w:eastAsia="標楷體" w:hAnsi="標楷體"/>
          <w:sz w:val="28"/>
          <w:szCs w:val="28"/>
        </w:rPr>
        <w:t>1812</w:t>
      </w:r>
      <w:r w:rsidRPr="00F8659E">
        <w:rPr>
          <w:rFonts w:eastAsia="標楷體" w:hAnsi="標楷體" w:hint="eastAsia"/>
          <w:sz w:val="28"/>
          <w:szCs w:val="28"/>
        </w:rPr>
        <w:t>年</w:t>
      </w:r>
      <w:r w:rsidRPr="00F8659E">
        <w:rPr>
          <w:rFonts w:eastAsia="標楷體" w:hAnsi="標楷體"/>
          <w:sz w:val="28"/>
          <w:szCs w:val="28"/>
        </w:rPr>
        <w:t>6</w:t>
      </w:r>
      <w:r w:rsidRPr="00F8659E">
        <w:rPr>
          <w:rFonts w:eastAsia="標楷體" w:hAnsi="標楷體" w:hint="eastAsia"/>
          <w:sz w:val="28"/>
          <w:szCs w:val="28"/>
        </w:rPr>
        <w:t>月</w:t>
      </w:r>
      <w:r w:rsidRPr="00F8659E">
        <w:rPr>
          <w:rFonts w:eastAsia="標楷體" w:hAnsi="標楷體"/>
          <w:sz w:val="28"/>
          <w:szCs w:val="28"/>
        </w:rPr>
        <w:t>16</w:t>
      </w:r>
      <w:r w:rsidRPr="00F8659E">
        <w:rPr>
          <w:rFonts w:eastAsia="標楷體" w:hAnsi="標楷體" w:hint="eastAsia"/>
          <w:sz w:val="28"/>
          <w:szCs w:val="28"/>
        </w:rPr>
        <w:t>日成立的</w:t>
      </w:r>
      <w:r w:rsidRPr="00F8659E">
        <w:rPr>
          <w:rFonts w:eastAsia="標楷體" w:hAnsi="標楷體"/>
          <w:sz w:val="28"/>
          <w:szCs w:val="28"/>
        </w:rPr>
        <w:t>“</w:t>
      </w:r>
      <w:r w:rsidRPr="00F8659E">
        <w:rPr>
          <w:rFonts w:eastAsia="標楷體" w:hAnsi="標楷體" w:hint="eastAsia"/>
          <w:sz w:val="28"/>
          <w:szCs w:val="28"/>
        </w:rPr>
        <w:t>紐約城市銀行</w:t>
      </w:r>
      <w:r w:rsidRPr="00F8659E">
        <w:rPr>
          <w:rFonts w:eastAsia="標楷體" w:hAnsi="標楷體"/>
          <w:sz w:val="28"/>
          <w:szCs w:val="28"/>
        </w:rPr>
        <w:t>”</w:t>
      </w:r>
      <w:r w:rsidRPr="00F8659E">
        <w:rPr>
          <w:rFonts w:eastAsia="標楷體" w:hAnsi="標楷體"/>
          <w:sz w:val="28"/>
          <w:szCs w:val="28"/>
        </w:rPr>
        <w:t>(City Bank of New York)</w:t>
      </w:r>
      <w:r w:rsidRPr="00F8659E">
        <w:rPr>
          <w:rFonts w:eastAsia="標楷體" w:hAnsi="標楷體" w:hint="eastAsia"/>
          <w:sz w:val="28"/>
          <w:szCs w:val="28"/>
        </w:rPr>
        <w:t>，經過近兩</w:t>
      </w:r>
      <w:proofErr w:type="gramStart"/>
      <w:r w:rsidRPr="00F8659E">
        <w:rPr>
          <w:rFonts w:eastAsia="標楷體" w:hAnsi="標楷體" w:hint="eastAsia"/>
          <w:sz w:val="28"/>
          <w:szCs w:val="28"/>
        </w:rPr>
        <w:t>個</w:t>
      </w:r>
      <w:proofErr w:type="gramEnd"/>
      <w:r w:rsidRPr="00F8659E">
        <w:rPr>
          <w:rFonts w:eastAsia="標楷體" w:hAnsi="標楷體" w:hint="eastAsia"/>
          <w:sz w:val="28"/>
          <w:szCs w:val="28"/>
        </w:rPr>
        <w:t>世紀的發展、並購，已成為美國最大的銀行，也是一間在全球近五十</w:t>
      </w:r>
      <w:proofErr w:type="gramStart"/>
      <w:r w:rsidRPr="00F8659E">
        <w:rPr>
          <w:rFonts w:eastAsia="標楷體" w:hAnsi="標楷體" w:hint="eastAsia"/>
          <w:sz w:val="28"/>
          <w:szCs w:val="28"/>
        </w:rPr>
        <w:t>個</w:t>
      </w:r>
      <w:proofErr w:type="gramEnd"/>
      <w:r w:rsidRPr="00F8659E">
        <w:rPr>
          <w:rFonts w:eastAsia="標楷體" w:hAnsi="標楷體" w:hint="eastAsia"/>
          <w:sz w:val="28"/>
          <w:szCs w:val="28"/>
        </w:rPr>
        <w:t>國家及地區設有分支機</w:t>
      </w:r>
      <w:proofErr w:type="gramStart"/>
      <w:r w:rsidRPr="00F8659E">
        <w:rPr>
          <w:rFonts w:eastAsia="標楷體" w:hAnsi="標楷體" w:hint="eastAsia"/>
          <w:sz w:val="28"/>
          <w:szCs w:val="28"/>
        </w:rPr>
        <w:t>搆</w:t>
      </w:r>
      <w:proofErr w:type="gramEnd"/>
      <w:r w:rsidRPr="00F8659E">
        <w:rPr>
          <w:rFonts w:eastAsia="標楷體" w:hAnsi="標楷體" w:hint="eastAsia"/>
          <w:sz w:val="28"/>
          <w:szCs w:val="28"/>
        </w:rPr>
        <w:t>的國際大銀行。</w:t>
      </w:r>
      <w:r w:rsidRPr="00F8659E">
        <w:rPr>
          <w:rFonts w:eastAsia="標楷體" w:hAnsi="標楷體"/>
          <w:sz w:val="28"/>
          <w:szCs w:val="28"/>
        </w:rPr>
        <w:t>1998</w:t>
      </w:r>
      <w:r w:rsidRPr="00F8659E">
        <w:rPr>
          <w:rFonts w:eastAsia="標楷體" w:hAnsi="標楷體" w:hint="eastAsia"/>
          <w:sz w:val="28"/>
          <w:szCs w:val="28"/>
        </w:rPr>
        <w:t>年</w:t>
      </w:r>
      <w:r w:rsidRPr="00F8659E">
        <w:rPr>
          <w:rFonts w:eastAsia="標楷體" w:hAnsi="標楷體"/>
          <w:sz w:val="28"/>
          <w:szCs w:val="28"/>
        </w:rPr>
        <w:t>10</w:t>
      </w:r>
      <w:r w:rsidRPr="00F8659E">
        <w:rPr>
          <w:rFonts w:eastAsia="標楷體" w:hAnsi="標楷體" w:hint="eastAsia"/>
          <w:sz w:val="28"/>
          <w:szCs w:val="28"/>
        </w:rPr>
        <w:t>月花旗銀行的母公司及控股公司</w:t>
      </w:r>
      <w:r w:rsidRPr="00F8659E">
        <w:rPr>
          <w:rFonts w:eastAsia="標楷體" w:hAnsi="標楷體"/>
          <w:sz w:val="28"/>
          <w:szCs w:val="28"/>
        </w:rPr>
        <w:t>“</w:t>
      </w:r>
      <w:r w:rsidRPr="00F8659E">
        <w:rPr>
          <w:rFonts w:eastAsia="標楷體" w:hAnsi="標楷體" w:hint="eastAsia"/>
          <w:sz w:val="28"/>
          <w:szCs w:val="28"/>
        </w:rPr>
        <w:t>花旗公司</w:t>
      </w:r>
      <w:r w:rsidRPr="00F8659E">
        <w:rPr>
          <w:rFonts w:eastAsia="標楷體" w:hAnsi="標楷體"/>
          <w:sz w:val="28"/>
          <w:szCs w:val="28"/>
        </w:rPr>
        <w:t>”</w:t>
      </w:r>
      <w:r w:rsidRPr="00F8659E">
        <w:rPr>
          <w:rFonts w:eastAsia="標楷體" w:hAnsi="標楷體"/>
          <w:sz w:val="28"/>
          <w:szCs w:val="28"/>
        </w:rPr>
        <w:t>(Citicorp)</w:t>
      </w:r>
      <w:r w:rsidRPr="00F8659E">
        <w:rPr>
          <w:rFonts w:eastAsia="標楷體" w:hAnsi="標楷體" w:hint="eastAsia"/>
          <w:sz w:val="28"/>
          <w:szCs w:val="28"/>
        </w:rPr>
        <w:t>與</w:t>
      </w:r>
      <w:r w:rsidRPr="00F8659E">
        <w:rPr>
          <w:rFonts w:eastAsia="標楷體" w:hAnsi="標楷體"/>
          <w:sz w:val="28"/>
          <w:szCs w:val="28"/>
        </w:rPr>
        <w:t>“</w:t>
      </w:r>
      <w:r w:rsidRPr="00F8659E">
        <w:rPr>
          <w:rFonts w:eastAsia="標楷體" w:hAnsi="標楷體" w:hint="eastAsia"/>
          <w:sz w:val="28"/>
          <w:szCs w:val="28"/>
        </w:rPr>
        <w:t>旅行家集團</w:t>
      </w:r>
      <w:r w:rsidRPr="00F8659E">
        <w:rPr>
          <w:rFonts w:eastAsia="標楷體" w:hAnsi="標楷體"/>
          <w:sz w:val="28"/>
          <w:szCs w:val="28"/>
        </w:rPr>
        <w:t>”</w:t>
      </w:r>
      <w:r w:rsidRPr="00F8659E">
        <w:rPr>
          <w:rFonts w:eastAsia="標楷體" w:hAnsi="標楷體"/>
          <w:sz w:val="28"/>
          <w:szCs w:val="28"/>
        </w:rPr>
        <w:t>(Travelers Group)</w:t>
      </w:r>
      <w:r w:rsidRPr="00F8659E">
        <w:rPr>
          <w:rFonts w:eastAsia="標楷體" w:hAnsi="標楷體" w:hint="eastAsia"/>
          <w:sz w:val="28"/>
          <w:szCs w:val="28"/>
        </w:rPr>
        <w:t>合併組成花旗集團，此後花旗銀行繼續保持為花旗集團</w:t>
      </w:r>
      <w:r w:rsidRPr="00F8659E">
        <w:rPr>
          <w:rFonts w:eastAsia="標楷體" w:hAnsi="標楷體"/>
          <w:sz w:val="28"/>
          <w:szCs w:val="28"/>
        </w:rPr>
        <w:t>“</w:t>
      </w:r>
      <w:r w:rsidRPr="00F8659E">
        <w:rPr>
          <w:rFonts w:eastAsia="標楷體" w:hAnsi="標楷體" w:hint="eastAsia"/>
          <w:sz w:val="28"/>
          <w:szCs w:val="28"/>
        </w:rPr>
        <w:t>紅雨傘</w:t>
      </w:r>
      <w:r w:rsidRPr="00F8659E">
        <w:rPr>
          <w:rFonts w:eastAsia="標楷體" w:hAnsi="標楷體"/>
          <w:sz w:val="28"/>
          <w:szCs w:val="28"/>
        </w:rPr>
        <w:t>”</w:t>
      </w:r>
      <w:r w:rsidRPr="00F8659E">
        <w:rPr>
          <w:rFonts w:eastAsia="標楷體" w:hAnsi="標楷體" w:hint="eastAsia"/>
          <w:sz w:val="28"/>
          <w:szCs w:val="28"/>
        </w:rPr>
        <w:t>旗下的強勢品牌。</w:t>
      </w:r>
      <w:r w:rsidRPr="00F8659E">
        <w:rPr>
          <w:rFonts w:eastAsia="標楷體" w:hAnsi="標楷體"/>
          <w:sz w:val="28"/>
          <w:szCs w:val="28"/>
        </w:rPr>
        <w:t xml:space="preserve"> </w:t>
      </w:r>
    </w:p>
    <w:p w:rsidR="00F8659E" w:rsidRPr="00F8659E" w:rsidRDefault="00F8659E" w:rsidP="0061604A">
      <w:pPr>
        <w:snapToGrid w:val="0"/>
        <w:spacing w:beforeLines="50" w:before="180" w:line="360" w:lineRule="auto"/>
        <w:rPr>
          <w:rFonts w:eastAsia="標楷體" w:hAnsi="標楷體"/>
          <w:sz w:val="28"/>
          <w:szCs w:val="28"/>
        </w:rPr>
      </w:pPr>
      <w:r w:rsidRPr="00F8659E">
        <w:rPr>
          <w:rFonts w:eastAsia="標楷體" w:hAnsi="標楷體" w:hint="eastAsia"/>
          <w:sz w:val="28"/>
          <w:szCs w:val="28"/>
        </w:rPr>
        <w:t>花旗銀行是眾所公認的積極求新又專業化的銀行，在臺灣市場上一直居於領導地位。隨著臺灣經濟的發展與金融的自由化，現在花旗銀行就存款、資產總值，獲利情況及營業範圍而言，已成為國內規模最大的外商銀行。</w:t>
      </w:r>
      <w:r w:rsidRPr="00F8659E">
        <w:rPr>
          <w:rFonts w:eastAsia="標楷體" w:hAnsi="標楷體"/>
          <w:sz w:val="28"/>
          <w:szCs w:val="28"/>
        </w:rPr>
        <w:t xml:space="preserve"> </w:t>
      </w:r>
    </w:p>
    <w:p w:rsidR="00F8659E" w:rsidRPr="00F8659E" w:rsidRDefault="00F8659E" w:rsidP="0061604A">
      <w:pPr>
        <w:snapToGrid w:val="0"/>
        <w:spacing w:beforeLines="50" w:before="180" w:line="360" w:lineRule="auto"/>
        <w:rPr>
          <w:rFonts w:eastAsia="標楷體" w:hAnsi="標楷體"/>
          <w:sz w:val="28"/>
          <w:szCs w:val="28"/>
        </w:rPr>
      </w:pPr>
      <w:r w:rsidRPr="00F8659E">
        <w:rPr>
          <w:rFonts w:eastAsia="標楷體" w:hAnsi="標楷體" w:hint="eastAsia"/>
          <w:sz w:val="28"/>
          <w:szCs w:val="28"/>
        </w:rPr>
        <w:t>花旗集團是全球最大的金融服務公司，目前在全球共有四千多</w:t>
      </w:r>
      <w:proofErr w:type="gramStart"/>
      <w:r w:rsidRPr="00F8659E">
        <w:rPr>
          <w:rFonts w:eastAsia="標楷體" w:hAnsi="標楷體" w:hint="eastAsia"/>
          <w:sz w:val="28"/>
          <w:szCs w:val="28"/>
        </w:rPr>
        <w:t>個</w:t>
      </w:r>
      <w:proofErr w:type="gramEnd"/>
      <w:r w:rsidRPr="00F8659E">
        <w:rPr>
          <w:rFonts w:eastAsia="標楷體" w:hAnsi="標楷體" w:hint="eastAsia"/>
          <w:sz w:val="28"/>
          <w:szCs w:val="28"/>
        </w:rPr>
        <w:t>分支機</w:t>
      </w:r>
      <w:proofErr w:type="gramStart"/>
      <w:r w:rsidRPr="00F8659E">
        <w:rPr>
          <w:rFonts w:eastAsia="標楷體" w:hAnsi="標楷體" w:hint="eastAsia"/>
          <w:sz w:val="28"/>
          <w:szCs w:val="28"/>
        </w:rPr>
        <w:t>搆</w:t>
      </w:r>
      <w:proofErr w:type="gramEnd"/>
      <w:r w:rsidRPr="00F8659E">
        <w:rPr>
          <w:rFonts w:eastAsia="標楷體" w:hAnsi="標楷體" w:hint="eastAsia"/>
          <w:sz w:val="28"/>
          <w:szCs w:val="28"/>
        </w:rPr>
        <w:t>，業務範圍包括消費金融、企業金融、投資銀行、私人銀行、保險、</w:t>
      </w:r>
      <w:r w:rsidR="00D31899" w:rsidRPr="00D31899">
        <w:rPr>
          <w:rFonts w:eastAsia="標楷體" w:hAnsi="標楷體" w:hint="eastAsia"/>
          <w:sz w:val="28"/>
          <w:szCs w:val="28"/>
        </w:rPr>
        <w:t>證券經紀</w:t>
      </w:r>
      <w:r w:rsidRPr="00F8659E">
        <w:rPr>
          <w:rFonts w:eastAsia="標楷體" w:hAnsi="標楷體"/>
          <w:sz w:val="28"/>
          <w:szCs w:val="28"/>
        </w:rPr>
        <w:t>及</w:t>
      </w:r>
      <w:r w:rsidR="00D31899">
        <w:rPr>
          <w:rFonts w:eastAsia="標楷體" w:hAnsi="標楷體" w:hint="eastAsia"/>
          <w:sz w:val="28"/>
          <w:szCs w:val="28"/>
        </w:rPr>
        <w:t>資產</w:t>
      </w:r>
      <w:r w:rsidRPr="00F8659E">
        <w:rPr>
          <w:rFonts w:eastAsia="標楷體" w:hAnsi="標楷體"/>
          <w:sz w:val="28"/>
          <w:szCs w:val="28"/>
        </w:rPr>
        <w:t>管理</w:t>
      </w:r>
      <w:r w:rsidR="00D31899">
        <w:rPr>
          <w:rFonts w:eastAsia="標楷體" w:hAnsi="標楷體" w:hint="eastAsia"/>
          <w:sz w:val="28"/>
          <w:szCs w:val="28"/>
        </w:rPr>
        <w:t>服務</w:t>
      </w:r>
      <w:r w:rsidRPr="00F8659E">
        <w:rPr>
          <w:rFonts w:eastAsia="標楷體" w:hAnsi="標楷體"/>
          <w:sz w:val="28"/>
          <w:szCs w:val="28"/>
        </w:rPr>
        <w:t>等。</w:t>
      </w:r>
    </w:p>
    <w:p w:rsidR="00A352E3" w:rsidRDefault="00A352E3" w:rsidP="007C200C">
      <w:pPr>
        <w:snapToGrid w:val="0"/>
        <w:spacing w:beforeLines="150" w:before="540" w:line="360" w:lineRule="auto"/>
        <w:rPr>
          <w:rFonts w:eastAsia="標楷體"/>
          <w:b/>
          <w:sz w:val="28"/>
          <w:szCs w:val="28"/>
        </w:rPr>
      </w:pPr>
      <w:bookmarkStart w:id="0" w:name="_GoBack"/>
      <w:r w:rsidRPr="00117EC9">
        <w:rPr>
          <w:rFonts w:eastAsia="標楷體" w:hint="eastAsia"/>
          <w:b/>
          <w:sz w:val="28"/>
          <w:szCs w:val="28"/>
        </w:rPr>
        <w:t>案例描述</w:t>
      </w:r>
    </w:p>
    <w:bookmarkEnd w:id="0"/>
    <w:p w:rsidR="008C469D" w:rsidRDefault="003A0A09" w:rsidP="0061604A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花期銀行針對</w:t>
      </w:r>
      <w:proofErr w:type="gramStart"/>
      <w:r>
        <w:rPr>
          <w:rFonts w:eastAsia="標楷體" w:hAnsi="標楷體" w:hint="eastAsia"/>
          <w:color w:val="000000"/>
          <w:kern w:val="0"/>
          <w:sz w:val="28"/>
          <w:szCs w:val="28"/>
        </w:rPr>
        <w:t>融資專安</w:t>
      </w:r>
      <w:r w:rsidRPr="003A0A09">
        <w:rPr>
          <w:rFonts w:eastAsia="標楷體" w:hAnsi="標楷體" w:hint="eastAsia"/>
          <w:color w:val="000000"/>
          <w:kern w:val="0"/>
          <w:sz w:val="28"/>
          <w:szCs w:val="28"/>
        </w:rPr>
        <w:t>制訂</w:t>
      </w:r>
      <w:proofErr w:type="gramEnd"/>
      <w:r w:rsidRPr="003A0A09">
        <w:rPr>
          <w:rFonts w:eastAsia="標楷體" w:hAnsi="標楷體" w:hint="eastAsia"/>
          <w:color w:val="000000"/>
          <w:kern w:val="0"/>
          <w:sz w:val="28"/>
          <w:szCs w:val="28"/>
        </w:rPr>
        <w:t>環境與社會風險管理政策（</w:t>
      </w:r>
      <w:r w:rsidRPr="003A0A09">
        <w:rPr>
          <w:rFonts w:eastAsia="標楷體" w:hAnsi="標楷體" w:hint="eastAsia"/>
          <w:color w:val="000000"/>
          <w:kern w:val="0"/>
          <w:sz w:val="28"/>
          <w:szCs w:val="28"/>
        </w:rPr>
        <w:t>Environmental and Social Risk Management(ESRM) Policy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），成立專責單位，審查融資專案及交易是否對環境或人權造成衝擊，並</w:t>
      </w:r>
      <w:r w:rsidR="00947A49">
        <w:rPr>
          <w:rFonts w:eastAsia="標楷體" w:hAnsi="標楷體" w:hint="eastAsia"/>
          <w:color w:val="000000"/>
          <w:kern w:val="0"/>
          <w:sz w:val="28"/>
          <w:szCs w:val="28"/>
        </w:rPr>
        <w:t>給予建議及諮詢，同時也負責內部的訓練、溝通、法</w:t>
      </w:r>
      <w:r w:rsidR="00947A49">
        <w:rPr>
          <w:rFonts w:eastAsia="標楷體" w:hAnsi="標楷體" w:hint="eastAsia"/>
          <w:color w:val="000000"/>
          <w:kern w:val="0"/>
          <w:sz w:val="28"/>
          <w:szCs w:val="28"/>
        </w:rPr>
        <w:lastRenderedPageBreak/>
        <w:t>規遵循、追蹤</w:t>
      </w:r>
      <w:r w:rsidR="00897B31">
        <w:rPr>
          <w:rFonts w:eastAsia="標楷體" w:hAnsi="標楷體" w:hint="eastAsia"/>
          <w:color w:val="000000"/>
          <w:kern w:val="0"/>
          <w:sz w:val="28"/>
          <w:szCs w:val="28"/>
        </w:rPr>
        <w:t>及揭</w:t>
      </w:r>
      <w:r w:rsidR="00947A49">
        <w:rPr>
          <w:rFonts w:eastAsia="標楷體" w:hAnsi="標楷體" w:hint="eastAsia"/>
          <w:color w:val="000000"/>
          <w:kern w:val="0"/>
          <w:sz w:val="28"/>
          <w:szCs w:val="28"/>
        </w:rPr>
        <w:t>露。</w:t>
      </w:r>
      <w:r w:rsidR="00897B31">
        <w:rPr>
          <w:rFonts w:eastAsia="標楷體" w:hAnsi="標楷體" w:hint="eastAsia"/>
          <w:color w:val="000000"/>
          <w:kern w:val="0"/>
          <w:sz w:val="28"/>
          <w:szCs w:val="28"/>
        </w:rPr>
        <w:t>另有資深經理人組成的</w:t>
      </w:r>
      <w:r w:rsidR="00897B31">
        <w:rPr>
          <w:rFonts w:eastAsia="標楷體" w:hAnsi="標楷體" w:hint="eastAsia"/>
          <w:color w:val="000000"/>
          <w:kern w:val="0"/>
          <w:sz w:val="28"/>
          <w:szCs w:val="28"/>
        </w:rPr>
        <w:t>ESRM</w:t>
      </w:r>
      <w:r w:rsidR="00897B31">
        <w:rPr>
          <w:rFonts w:eastAsia="標楷體" w:hAnsi="標楷體" w:hint="eastAsia"/>
          <w:color w:val="000000"/>
          <w:kern w:val="0"/>
          <w:sz w:val="28"/>
          <w:szCs w:val="28"/>
        </w:rPr>
        <w:t>委員會負責，針對與環境相關的風險管理議題提供指引。</w:t>
      </w:r>
    </w:p>
    <w:p w:rsidR="00897B31" w:rsidRDefault="00897B31" w:rsidP="0061604A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花旗銀行的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ESRM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政策同時搭配幾個國際規範施行，在新興市場，其政策依循國際金融公司（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International Finance Corporation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，簡稱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IFC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）之績效標準（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Performance Standards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）和環境健康安全指引（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Environmental, Health, and Safety Guidelines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）；</w:t>
      </w:r>
      <w:r w:rsidR="005A5DF3">
        <w:rPr>
          <w:rFonts w:eastAsia="標楷體" w:hAnsi="標楷體" w:hint="eastAsia"/>
          <w:color w:val="000000"/>
          <w:kern w:val="0"/>
          <w:sz w:val="28"/>
          <w:szCs w:val="28"/>
        </w:rPr>
        <w:t>花旗公司亦針對林業、礦業、碳、核能等不同環境議題制訂相關標準，與</w:t>
      </w:r>
      <w:r w:rsidR="005A5DF3">
        <w:rPr>
          <w:rFonts w:eastAsia="標楷體" w:hAnsi="標楷體" w:hint="eastAsia"/>
          <w:color w:val="000000"/>
          <w:kern w:val="0"/>
          <w:sz w:val="28"/>
          <w:szCs w:val="28"/>
        </w:rPr>
        <w:t>ESRM</w:t>
      </w:r>
      <w:r w:rsidR="005A5DF3">
        <w:rPr>
          <w:rFonts w:eastAsia="標楷體" w:hAnsi="標楷體" w:hint="eastAsia"/>
          <w:color w:val="000000"/>
          <w:kern w:val="0"/>
          <w:sz w:val="28"/>
          <w:szCs w:val="28"/>
        </w:rPr>
        <w:t>政策搭配應用。</w:t>
      </w:r>
    </w:p>
    <w:p w:rsidR="005A5DF3" w:rsidRDefault="005A5DF3" w:rsidP="0061604A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在政策執行上，花旗銀行建立了一套審查程序，先由各地銀行及風險管理師辨識出與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ESRM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政策相關的案件，交由專責單位進行審查，並依照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IFC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的定義，判斷案件對環境造成的衝擊程度，</w:t>
      </w:r>
      <w:r w:rsidR="004F7ED8">
        <w:rPr>
          <w:rFonts w:eastAsia="標楷體" w:hAnsi="標楷體" w:hint="eastAsia"/>
          <w:color w:val="000000"/>
          <w:kern w:val="0"/>
          <w:sz w:val="28"/>
          <w:szCs w:val="28"/>
        </w:rPr>
        <w:t>並協助客戶辨識風險，甚至將必要的改善行動計劃納入融資協定中，透過獨立的審查機制，掌控其融資行為對環境及社會造成的衝擊，管理潛在風險。</w:t>
      </w:r>
    </w:p>
    <w:p w:rsidR="004F7ED8" w:rsidRPr="00175079" w:rsidRDefault="004F7ED8" w:rsidP="008354FC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Interstate-Light" w:eastAsia="Interstate-Light" w:cs="Interstate-Light"/>
          <w:color w:val="484848"/>
          <w:kern w:val="0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花旗銀行的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ESRM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政策自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2003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年開始實施並定期修訂，並針對案件進行統計分析和揭露，每年也在世界各地進行教育訓練，讓員工熟悉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ESRM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之執行程序。</w:t>
      </w:r>
    </w:p>
    <w:sectPr w:rsidR="004F7ED8" w:rsidRPr="00175079" w:rsidSect="00D259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86" w:rsidRDefault="00FF1086">
      <w:r>
        <w:separator/>
      </w:r>
    </w:p>
  </w:endnote>
  <w:endnote w:type="continuationSeparator" w:id="0">
    <w:p w:rsidR="00FF1086" w:rsidRDefault="00FF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LiHei-Lt">
    <w:altName w:val="AR MingtiM BIG-5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FMingBold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86" w:rsidRDefault="00FF1086">
      <w:r>
        <w:separator/>
      </w:r>
    </w:p>
  </w:footnote>
  <w:footnote w:type="continuationSeparator" w:id="0">
    <w:p w:rsidR="00FF1086" w:rsidRDefault="00FF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4C170D"/>
    <w:multiLevelType w:val="hybridMultilevel"/>
    <w:tmpl w:val="D76418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7F3CD7"/>
    <w:multiLevelType w:val="hybridMultilevel"/>
    <w:tmpl w:val="894AAC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E909D9"/>
    <w:multiLevelType w:val="hybridMultilevel"/>
    <w:tmpl w:val="98B4B33C"/>
    <w:lvl w:ilvl="0" w:tplc="D1483938">
      <w:start w:val="1"/>
      <w:numFmt w:val="taiwaneseCountingThousand"/>
      <w:lvlText w:val="第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916947"/>
    <w:multiLevelType w:val="hybridMultilevel"/>
    <w:tmpl w:val="7BAE65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70419CA">
      <w:numFmt w:val="bullet"/>
      <w:lvlText w:val="•"/>
      <w:lvlJc w:val="left"/>
      <w:pPr>
        <w:ind w:left="840" w:hanging="360"/>
      </w:pPr>
      <w:rPr>
        <w:rFonts w:ascii="Interstate-Light" w:eastAsia="Interstate-Light" w:hAnsi="Interstate-Light" w:cs="Interstate-Light"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6E10867"/>
    <w:multiLevelType w:val="hybridMultilevel"/>
    <w:tmpl w:val="0576F848"/>
    <w:lvl w:ilvl="0" w:tplc="CF9E713A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DFLiHei-Lt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F05E22"/>
    <w:multiLevelType w:val="hybridMultilevel"/>
    <w:tmpl w:val="EF8C52C8"/>
    <w:lvl w:ilvl="0" w:tplc="CF9E713A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DFLiHei-Lt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AE407FC"/>
    <w:multiLevelType w:val="hybridMultilevel"/>
    <w:tmpl w:val="DCB6F55C"/>
    <w:lvl w:ilvl="0" w:tplc="CF9E713A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DFLiHei-Lt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7A4"/>
    <w:rsid w:val="000027CB"/>
    <w:rsid w:val="00035766"/>
    <w:rsid w:val="000441ED"/>
    <w:rsid w:val="000B3B80"/>
    <w:rsid w:val="00103B61"/>
    <w:rsid w:val="00117EC9"/>
    <w:rsid w:val="00145CE8"/>
    <w:rsid w:val="00175079"/>
    <w:rsid w:val="0019149F"/>
    <w:rsid w:val="001B42AE"/>
    <w:rsid w:val="00240CDF"/>
    <w:rsid w:val="002A3B6A"/>
    <w:rsid w:val="002B6860"/>
    <w:rsid w:val="0039587D"/>
    <w:rsid w:val="003A0A09"/>
    <w:rsid w:val="003A2FB7"/>
    <w:rsid w:val="003E1D05"/>
    <w:rsid w:val="0048184F"/>
    <w:rsid w:val="004F17A4"/>
    <w:rsid w:val="004F7ED8"/>
    <w:rsid w:val="00571513"/>
    <w:rsid w:val="00586B25"/>
    <w:rsid w:val="005A5DF3"/>
    <w:rsid w:val="0061604A"/>
    <w:rsid w:val="006329C8"/>
    <w:rsid w:val="006A1D3C"/>
    <w:rsid w:val="007016FA"/>
    <w:rsid w:val="00722078"/>
    <w:rsid w:val="007366C1"/>
    <w:rsid w:val="00786BF2"/>
    <w:rsid w:val="007C200C"/>
    <w:rsid w:val="007E3A84"/>
    <w:rsid w:val="007F0E01"/>
    <w:rsid w:val="008354FC"/>
    <w:rsid w:val="00880E59"/>
    <w:rsid w:val="00897B31"/>
    <w:rsid w:val="008C469D"/>
    <w:rsid w:val="008C6A1C"/>
    <w:rsid w:val="008D2A82"/>
    <w:rsid w:val="008F10EA"/>
    <w:rsid w:val="00947A49"/>
    <w:rsid w:val="0096045C"/>
    <w:rsid w:val="009B4CFD"/>
    <w:rsid w:val="009C4740"/>
    <w:rsid w:val="00A352E3"/>
    <w:rsid w:val="00A4090F"/>
    <w:rsid w:val="00A73F36"/>
    <w:rsid w:val="00A86FFB"/>
    <w:rsid w:val="00AC2936"/>
    <w:rsid w:val="00AF1F7A"/>
    <w:rsid w:val="00B270EF"/>
    <w:rsid w:val="00B32B4C"/>
    <w:rsid w:val="00B4754F"/>
    <w:rsid w:val="00BC142A"/>
    <w:rsid w:val="00BD0C0B"/>
    <w:rsid w:val="00C272A6"/>
    <w:rsid w:val="00C44566"/>
    <w:rsid w:val="00C55AF7"/>
    <w:rsid w:val="00C76DB6"/>
    <w:rsid w:val="00CE0519"/>
    <w:rsid w:val="00D25915"/>
    <w:rsid w:val="00D31899"/>
    <w:rsid w:val="00D624BD"/>
    <w:rsid w:val="00D97F5C"/>
    <w:rsid w:val="00DB08D0"/>
    <w:rsid w:val="00E34F63"/>
    <w:rsid w:val="00E813D6"/>
    <w:rsid w:val="00E83D2D"/>
    <w:rsid w:val="00EB6A54"/>
    <w:rsid w:val="00ED7188"/>
    <w:rsid w:val="00EF2DB6"/>
    <w:rsid w:val="00EF5F42"/>
    <w:rsid w:val="00F04983"/>
    <w:rsid w:val="00F27C57"/>
    <w:rsid w:val="00F306FC"/>
    <w:rsid w:val="00F8659E"/>
    <w:rsid w:val="00F90998"/>
    <w:rsid w:val="00FD173D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9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1E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27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27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9B4CFD"/>
    <w:pPr>
      <w:widowControl w:val="0"/>
      <w:autoSpaceDE w:val="0"/>
      <w:autoSpaceDN w:val="0"/>
      <w:adjustRightInd w:val="0"/>
    </w:pPr>
    <w:rPr>
      <w:rFonts w:ascii="DFMingBold-B5" w:eastAsia="DFMingBold-B5" w:cs="DFMingBold-B5"/>
      <w:color w:val="000000"/>
      <w:sz w:val="24"/>
      <w:szCs w:val="24"/>
    </w:rPr>
  </w:style>
  <w:style w:type="character" w:customStyle="1" w:styleId="yqlink">
    <w:name w:val="yqlink"/>
    <w:basedOn w:val="a0"/>
    <w:rsid w:val="00F8659E"/>
  </w:style>
  <w:style w:type="paragraph" w:styleId="z-">
    <w:name w:val="HTML Top of Form"/>
    <w:basedOn w:val="a"/>
    <w:next w:val="a"/>
    <w:link w:val="z-0"/>
    <w:hidden/>
    <w:uiPriority w:val="99"/>
    <w:unhideWhenUsed/>
    <w:rsid w:val="00F8659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F8659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8659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F8659E"/>
    <w:rPr>
      <w:rFonts w:ascii="Arial" w:hAnsi="Arial" w:cs="Arial"/>
      <w:vanish/>
      <w:sz w:val="16"/>
      <w:szCs w:val="16"/>
    </w:rPr>
  </w:style>
  <w:style w:type="character" w:styleId="a6">
    <w:name w:val="Hyperlink"/>
    <w:basedOn w:val="a0"/>
    <w:rsid w:val="00E81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7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4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BD7EC"/>
            <w:right w:val="single" w:sz="6" w:space="0" w:color="CBD7EC"/>
          </w:divBdr>
          <w:divsChild>
            <w:div w:id="1035882556">
              <w:marLeft w:val="375"/>
              <w:marRight w:val="3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906</Words>
  <Characters>275</Characters>
  <Application>Microsoft Office Word</Application>
  <DocSecurity>0</DocSecurity>
  <Lines>2</Lines>
  <Paragraphs>2</Paragraphs>
  <ScaleCrop>false</ScaleCrop>
  <Company/>
  <LinksUpToDate>false</LinksUpToDate>
  <CharactersWithSpaces>1179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http://www.iask.com/n?k=%D6%A4%C8%AF</vt:lpwstr>
      </vt:variant>
      <vt:variant>
        <vt:lpwstr/>
      </vt:variant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http://www.citibank.com.tw/global_docs/chi/csr/index.htm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企業概述</dc:title>
  <dc:subject/>
  <dc:creator>Tony Mo</dc:creator>
  <cp:keywords/>
  <dc:description/>
  <cp:lastModifiedBy>Avis</cp:lastModifiedBy>
  <cp:revision>8</cp:revision>
  <dcterms:created xsi:type="dcterms:W3CDTF">2012-11-07T20:53:00Z</dcterms:created>
  <dcterms:modified xsi:type="dcterms:W3CDTF">2012-11-08T03:24:00Z</dcterms:modified>
</cp:coreProperties>
</file>