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40" w:rsidRPr="007E093A" w:rsidRDefault="00B05230" w:rsidP="00EA0A40">
      <w:pPr>
        <w:snapToGrid w:val="0"/>
        <w:spacing w:beforeLines="50" w:before="180" w:line="300" w:lineRule="auto"/>
        <w:jc w:val="center"/>
        <w:rPr>
          <w:rFonts w:eastAsia="標楷體" w:hAnsi="標楷體"/>
          <w:sz w:val="32"/>
          <w:szCs w:val="32"/>
        </w:rPr>
      </w:pPr>
      <w:r>
        <w:rPr>
          <w:rFonts w:eastAsia="標楷體" w:hAnsi="標楷體" w:hint="eastAsia"/>
          <w:sz w:val="32"/>
          <w:szCs w:val="32"/>
        </w:rPr>
        <w:t>誠品生活</w:t>
      </w:r>
      <w:r w:rsidR="00EA0A40">
        <w:rPr>
          <w:rFonts w:eastAsia="標楷體" w:hAnsi="標楷體" w:hint="eastAsia"/>
          <w:sz w:val="32"/>
          <w:szCs w:val="32"/>
        </w:rPr>
        <w:t>的</w:t>
      </w:r>
      <w:r w:rsidR="00DC3E5A">
        <w:rPr>
          <w:rFonts w:eastAsia="標楷體" w:hAnsi="標楷體" w:hint="eastAsia"/>
          <w:sz w:val="32"/>
          <w:szCs w:val="32"/>
        </w:rPr>
        <w:t>利害關係人議合</w:t>
      </w:r>
    </w:p>
    <w:p w:rsidR="00EA0A40" w:rsidRPr="00435D71" w:rsidRDefault="00EA0A40" w:rsidP="00EA0A40">
      <w:pPr>
        <w:snapToGrid w:val="0"/>
        <w:spacing w:beforeLines="50" w:before="180" w:line="300" w:lineRule="auto"/>
        <w:jc w:val="right"/>
        <w:rPr>
          <w:rFonts w:eastAsia="標楷體"/>
          <w:sz w:val="28"/>
          <w:szCs w:val="28"/>
        </w:rPr>
      </w:pPr>
      <w:r w:rsidRPr="00374B12">
        <w:rPr>
          <w:rFonts w:eastAsia="標楷體" w:hint="eastAsia"/>
          <w:sz w:val="28"/>
          <w:szCs w:val="28"/>
        </w:rPr>
        <w:t>第</w:t>
      </w:r>
      <w:r w:rsidR="00DC3E5A">
        <w:rPr>
          <w:rFonts w:eastAsia="標楷體" w:hint="eastAsia"/>
          <w:sz w:val="28"/>
          <w:szCs w:val="28"/>
        </w:rPr>
        <w:t>八</w:t>
      </w:r>
      <w:r w:rsidRPr="00374B12">
        <w:rPr>
          <w:rFonts w:eastAsia="標楷體" w:hint="eastAsia"/>
          <w:sz w:val="28"/>
          <w:szCs w:val="28"/>
        </w:rPr>
        <w:t>條</w:t>
      </w:r>
      <w:r>
        <w:rPr>
          <w:rFonts w:eastAsia="標楷體" w:hint="eastAsia"/>
          <w:sz w:val="28"/>
          <w:szCs w:val="28"/>
        </w:rPr>
        <w:t xml:space="preserve"> </w:t>
      </w:r>
      <w:r>
        <w:rPr>
          <w:rFonts w:eastAsia="標楷體" w:hint="eastAsia"/>
          <w:sz w:val="28"/>
          <w:szCs w:val="28"/>
        </w:rPr>
        <w:t>等級：</w:t>
      </w:r>
      <w:r w:rsidR="00435D71" w:rsidRPr="00435D71">
        <w:rPr>
          <w:rFonts w:eastAsia="標楷體" w:hint="eastAsia"/>
          <w:sz w:val="28"/>
          <w:szCs w:val="28"/>
        </w:rPr>
        <w:t>初級</w:t>
      </w:r>
    </w:p>
    <w:p w:rsidR="00EA0A40" w:rsidRDefault="00EA0A40" w:rsidP="00EA0A40">
      <w:pPr>
        <w:snapToGrid w:val="0"/>
        <w:spacing w:beforeLines="50" w:before="180" w:line="300" w:lineRule="auto"/>
        <w:jc w:val="right"/>
        <w:rPr>
          <w:rFonts w:eastAsia="標楷體" w:hAnsi="標楷體"/>
        </w:rPr>
      </w:pPr>
      <w:r w:rsidRPr="00E95B24">
        <w:rPr>
          <w:rFonts w:eastAsia="標楷體" w:hAnsi="標楷體" w:hint="eastAsia"/>
        </w:rPr>
        <w:t>資料來源：</w:t>
      </w:r>
      <w:r w:rsidRPr="00D469BB">
        <w:rPr>
          <w:rFonts w:eastAsia="標楷體" w:hAnsi="標楷體" w:hint="eastAsia"/>
        </w:rPr>
        <w:t>20</w:t>
      </w:r>
      <w:r>
        <w:rPr>
          <w:rFonts w:eastAsia="標楷體" w:hAnsi="標楷體" w:hint="eastAsia"/>
        </w:rPr>
        <w:t>12</w:t>
      </w:r>
      <w:r>
        <w:rPr>
          <w:rFonts w:eastAsia="標楷體" w:hAnsi="標楷體" w:hint="eastAsia"/>
        </w:rPr>
        <w:t>年</w:t>
      </w:r>
      <w:r w:rsidR="00B05230">
        <w:rPr>
          <w:rFonts w:eastAsia="標楷體" w:hAnsi="標楷體" w:hint="eastAsia"/>
        </w:rPr>
        <w:t>誠品生活</w:t>
      </w:r>
      <w:r>
        <w:rPr>
          <w:rFonts w:eastAsia="標楷體" w:hAnsi="標楷體" w:hint="eastAsia"/>
        </w:rPr>
        <w:t>企業社會責任年報告書</w:t>
      </w:r>
    </w:p>
    <w:p w:rsidR="00EA0A40" w:rsidRPr="005A2726" w:rsidRDefault="00EA0A40" w:rsidP="00EA0A40">
      <w:pPr>
        <w:snapToGrid w:val="0"/>
        <w:spacing w:beforeLines="50" w:before="180" w:line="300" w:lineRule="auto"/>
        <w:ind w:left="1"/>
        <w:rPr>
          <w:rFonts w:eastAsia="標楷體"/>
          <w:i/>
          <w:sz w:val="28"/>
          <w:szCs w:val="22"/>
        </w:rPr>
      </w:pPr>
    </w:p>
    <w:p w:rsidR="00EA0A40" w:rsidRDefault="00034BFD" w:rsidP="00EA0A40">
      <w:pPr>
        <w:snapToGrid w:val="0"/>
        <w:spacing w:beforeLines="50" w:before="180" w:line="300" w:lineRule="auto"/>
        <w:ind w:left="1"/>
        <w:rPr>
          <w:rFonts w:eastAsia="標楷體" w:hint="eastAsia"/>
          <w:i/>
          <w:sz w:val="28"/>
          <w:szCs w:val="28"/>
        </w:rPr>
      </w:pPr>
      <w:r w:rsidRPr="00034BFD">
        <w:rPr>
          <w:rFonts w:eastAsia="標楷體" w:hint="eastAsia"/>
          <w:i/>
          <w:sz w:val="28"/>
          <w:szCs w:val="28"/>
        </w:rPr>
        <w:t>誠品生活之利害關係人主要包括股東、員工、顧客及合作廠商</w:t>
      </w:r>
      <w:r w:rsidRPr="00034BFD">
        <w:rPr>
          <w:rFonts w:ascii="Cambria Math" w:eastAsia="標楷體" w:hAnsi="Cambria Math" w:cs="Cambria Math"/>
          <w:i/>
          <w:sz w:val="28"/>
          <w:szCs w:val="28"/>
        </w:rPr>
        <w:t>⋯⋯</w:t>
      </w:r>
      <w:r w:rsidRPr="00034BFD">
        <w:rPr>
          <w:rFonts w:eastAsia="標楷體" w:hint="eastAsia"/>
          <w:i/>
          <w:sz w:val="28"/>
          <w:szCs w:val="28"/>
        </w:rPr>
        <w:t>等。為與各利害關係人保持良好互動，已指派適當等單位，透過各種溝通管道以充分了解利害關係人之需求並積極主動回覆，建立公平長期之信賴關係</w:t>
      </w:r>
    </w:p>
    <w:p w:rsidR="00B232C9" w:rsidRPr="00B232C9" w:rsidRDefault="00B232C9" w:rsidP="00EA0A40">
      <w:pPr>
        <w:snapToGrid w:val="0"/>
        <w:spacing w:beforeLines="50" w:before="180" w:line="300" w:lineRule="auto"/>
        <w:ind w:left="1"/>
        <w:rPr>
          <w:rFonts w:eastAsia="標楷體"/>
          <w:i/>
          <w:sz w:val="28"/>
          <w:szCs w:val="22"/>
        </w:rPr>
      </w:pPr>
    </w:p>
    <w:p w:rsidR="00EA0A40" w:rsidRPr="007C2475" w:rsidRDefault="00EA0A40" w:rsidP="00EA0A40">
      <w:pPr>
        <w:snapToGrid w:val="0"/>
        <w:spacing w:beforeLines="50" w:before="180" w:line="360" w:lineRule="auto"/>
        <w:ind w:left="387" w:hangingChars="138" w:hanging="387"/>
        <w:jc w:val="both"/>
        <w:rPr>
          <w:rFonts w:eastAsia="標楷體"/>
          <w:b/>
          <w:sz w:val="28"/>
          <w:szCs w:val="28"/>
        </w:rPr>
      </w:pPr>
      <w:r w:rsidRPr="007C2475">
        <w:rPr>
          <w:rFonts w:eastAsia="標楷體"/>
          <w:b/>
          <w:sz w:val="28"/>
          <w:szCs w:val="28"/>
        </w:rPr>
        <w:t>企業概述</w:t>
      </w:r>
    </w:p>
    <w:p w:rsidR="00EA0A40" w:rsidRPr="007C2475" w:rsidRDefault="00B05230" w:rsidP="00B232C9">
      <w:pPr>
        <w:pStyle w:val="3"/>
        <w:snapToGrid w:val="0"/>
        <w:spacing w:beforeLines="50" w:before="180" w:line="360" w:lineRule="auto"/>
        <w:ind w:leftChars="0" w:left="0" w:firstLineChars="0" w:firstLine="0"/>
        <w:jc w:val="both"/>
        <w:rPr>
          <w:rFonts w:eastAsia="標楷體"/>
          <w:sz w:val="28"/>
          <w:szCs w:val="28"/>
        </w:rPr>
      </w:pPr>
      <w:r w:rsidRPr="00B05230">
        <w:rPr>
          <w:rFonts w:eastAsia="標楷體" w:hint="eastAsia"/>
          <w:sz w:val="28"/>
          <w:szCs w:val="28"/>
        </w:rPr>
        <w:t>誠品生活（股）公司成立於</w:t>
      </w:r>
      <w:r w:rsidRPr="00B05230">
        <w:rPr>
          <w:rFonts w:eastAsia="標楷體" w:hint="eastAsia"/>
          <w:sz w:val="28"/>
          <w:szCs w:val="28"/>
        </w:rPr>
        <w:t>2005</w:t>
      </w:r>
      <w:r w:rsidRPr="00B05230">
        <w:rPr>
          <w:rFonts w:eastAsia="標楷體" w:hint="eastAsia"/>
          <w:sz w:val="28"/>
          <w:szCs w:val="28"/>
        </w:rPr>
        <w:t>年（原名誠新），由母公司誠品（股）公司（以下簡稱誠品）所創立。主要經營業務內容為複</w:t>
      </w:r>
      <w:r w:rsidR="00AB79AE">
        <w:rPr>
          <w:rFonts w:eastAsia="標楷體" w:hint="eastAsia"/>
          <w:sz w:val="28"/>
          <w:szCs w:val="28"/>
        </w:rPr>
        <w:t>合商場經營管理、餐旅設備代理、咖啡酒窖餐飲通路及旅館經營。誠品生活</w:t>
      </w:r>
      <w:r w:rsidRPr="00B05230">
        <w:rPr>
          <w:rFonts w:eastAsia="標楷體" w:hint="eastAsia"/>
          <w:sz w:val="28"/>
          <w:szCs w:val="28"/>
        </w:rPr>
        <w:t>近年來業務蓬勃發展，除台灣已有四十處以上營業據點外，並跨足海外於香港設立據點，引領台灣文創品牌，攜手躍越國際舞台。</w:t>
      </w:r>
    </w:p>
    <w:p w:rsidR="00EA0A40" w:rsidRPr="00B232C9" w:rsidRDefault="00EA0A40" w:rsidP="00B232C9">
      <w:pPr>
        <w:snapToGrid w:val="0"/>
        <w:spacing w:beforeLines="50" w:before="180" w:line="360" w:lineRule="auto"/>
        <w:ind w:left="387" w:hangingChars="138" w:hanging="387"/>
        <w:jc w:val="both"/>
        <w:rPr>
          <w:rFonts w:eastAsia="標楷體"/>
          <w:b/>
          <w:sz w:val="28"/>
          <w:szCs w:val="28"/>
        </w:rPr>
      </w:pPr>
      <w:r w:rsidRPr="00B232C9">
        <w:rPr>
          <w:rFonts w:eastAsia="標楷體" w:hint="eastAsia"/>
          <w:b/>
          <w:sz w:val="28"/>
          <w:szCs w:val="28"/>
        </w:rPr>
        <w:t>案例描述</w:t>
      </w:r>
    </w:p>
    <w:p w:rsidR="00525F92" w:rsidRDefault="001675CC" w:rsidP="00DC3E5A">
      <w:pPr>
        <w:pStyle w:val="3"/>
        <w:snapToGrid w:val="0"/>
        <w:spacing w:beforeLines="50" w:before="180" w:line="360" w:lineRule="auto"/>
        <w:ind w:leftChars="0" w:left="1" w:firstLineChars="0" w:firstLine="0"/>
        <w:rPr>
          <w:rFonts w:eastAsia="標楷體"/>
          <w:sz w:val="28"/>
          <w:szCs w:val="28"/>
        </w:rPr>
      </w:pPr>
      <w:r>
        <w:rPr>
          <w:rFonts w:eastAsia="標楷體" w:hint="eastAsia"/>
          <w:sz w:val="28"/>
          <w:szCs w:val="28"/>
        </w:rPr>
        <w:t>誠品生活</w:t>
      </w:r>
      <w:r w:rsidR="00DC3E5A" w:rsidRPr="00DC3E5A">
        <w:rPr>
          <w:rFonts w:eastAsia="標楷體" w:hint="eastAsia"/>
          <w:sz w:val="28"/>
          <w:szCs w:val="28"/>
        </w:rPr>
        <w:t>之利害關係人主要包括股東、員工、顧客及合作廠商</w:t>
      </w:r>
      <w:r w:rsidR="00DC3E5A" w:rsidRPr="00DC3E5A">
        <w:rPr>
          <w:rFonts w:ascii="Cambria Math" w:eastAsia="標楷體" w:hAnsi="Cambria Math" w:cs="Cambria Math"/>
          <w:sz w:val="28"/>
          <w:szCs w:val="28"/>
        </w:rPr>
        <w:t>⋯⋯</w:t>
      </w:r>
      <w:r w:rsidR="00DC3E5A" w:rsidRPr="00DC3E5A">
        <w:rPr>
          <w:rFonts w:eastAsia="標楷體" w:hint="eastAsia"/>
          <w:sz w:val="28"/>
          <w:szCs w:val="28"/>
        </w:rPr>
        <w:t>等。為與各利害關係人保持良好互動，已指派適當等單位，透過各種溝通管道以充分了解利害關係人之需求並積極主動回覆，建立公平長期之信賴關係，同時本公司亦訂有「誠信經營守則」、「誠信經營作業程序及行為指南」、「道德行為準則」</w:t>
      </w:r>
      <w:r w:rsidR="00DC3E5A" w:rsidRPr="00DC3E5A">
        <w:rPr>
          <w:rFonts w:ascii="Cambria Math" w:eastAsia="標楷體" w:hAnsi="Cambria Math" w:cs="Cambria Math"/>
          <w:sz w:val="28"/>
          <w:szCs w:val="28"/>
        </w:rPr>
        <w:t>⋯</w:t>
      </w:r>
      <w:r w:rsidR="00DC3E5A" w:rsidRPr="00DC3E5A">
        <w:rPr>
          <w:rFonts w:eastAsia="標楷體" w:hint="eastAsia"/>
          <w:sz w:val="28"/>
          <w:szCs w:val="28"/>
        </w:rPr>
        <w:t>等規範，由上至下積極落實於日常行為中。進而實踐我們對企業社會責任的承諾。</w:t>
      </w:r>
    </w:p>
    <w:p w:rsidR="00435D71" w:rsidRDefault="00435D71" w:rsidP="00435D71">
      <w:pPr>
        <w:pStyle w:val="3"/>
        <w:numPr>
          <w:ilvl w:val="0"/>
          <w:numId w:val="10"/>
        </w:numPr>
        <w:snapToGrid w:val="0"/>
        <w:spacing w:beforeLines="50" w:before="180" w:line="360" w:lineRule="auto"/>
        <w:ind w:leftChars="0" w:firstLineChars="0"/>
        <w:rPr>
          <w:rFonts w:eastAsia="標楷體"/>
          <w:sz w:val="28"/>
          <w:szCs w:val="28"/>
        </w:rPr>
      </w:pPr>
      <w:r w:rsidRPr="00435D71">
        <w:rPr>
          <w:rFonts w:eastAsia="標楷體" w:hint="eastAsia"/>
          <w:sz w:val="28"/>
          <w:szCs w:val="28"/>
        </w:rPr>
        <w:t>投資人</w:t>
      </w:r>
    </w:p>
    <w:p w:rsidR="00435D71" w:rsidRDefault="001675CC" w:rsidP="00435D71">
      <w:pPr>
        <w:pStyle w:val="3"/>
        <w:snapToGrid w:val="0"/>
        <w:spacing w:beforeLines="50" w:before="180" w:line="360" w:lineRule="auto"/>
        <w:ind w:leftChars="0" w:left="481" w:firstLineChars="0" w:firstLine="0"/>
        <w:rPr>
          <w:rFonts w:eastAsia="標楷體"/>
          <w:sz w:val="28"/>
          <w:szCs w:val="28"/>
        </w:rPr>
      </w:pPr>
      <w:r>
        <w:rPr>
          <w:rFonts w:eastAsia="標楷體" w:hint="eastAsia"/>
          <w:sz w:val="28"/>
          <w:szCs w:val="28"/>
        </w:rPr>
        <w:lastRenderedPageBreak/>
        <w:t>誠品生活</w:t>
      </w:r>
      <w:r w:rsidR="00435D71" w:rsidRPr="00435D71">
        <w:rPr>
          <w:rFonts w:eastAsia="標楷體" w:hint="eastAsia"/>
          <w:sz w:val="28"/>
          <w:szCs w:val="28"/>
        </w:rPr>
        <w:t>官方網站設有投資人園地，提供投資人關心的資訊，包括公司治理政策、財務資料</w:t>
      </w:r>
      <w:r w:rsidR="00435D71" w:rsidRPr="00435D71">
        <w:rPr>
          <w:rFonts w:ascii="Cambria Math" w:eastAsia="標楷體" w:hAnsi="Cambria Math" w:cs="Cambria Math"/>
          <w:sz w:val="28"/>
          <w:szCs w:val="28"/>
        </w:rPr>
        <w:t>⋯⋯</w:t>
      </w:r>
      <w:r w:rsidR="00435D71" w:rsidRPr="00435D71">
        <w:rPr>
          <w:rFonts w:eastAsia="標楷體" w:hint="eastAsia"/>
          <w:sz w:val="28"/>
          <w:szCs w:val="28"/>
        </w:rPr>
        <w:t>等。投資人有任何疑問，皆可於網站查詢聯絡電話、傳真、電子郵件信箱，聯絡專人服務。公司並不定期召開法人說明會，與投資人進行溝通對話。</w:t>
      </w:r>
    </w:p>
    <w:p w:rsidR="00435D71" w:rsidRDefault="00435D71" w:rsidP="00435D71">
      <w:pPr>
        <w:pStyle w:val="3"/>
        <w:numPr>
          <w:ilvl w:val="0"/>
          <w:numId w:val="10"/>
        </w:numPr>
        <w:snapToGrid w:val="0"/>
        <w:spacing w:beforeLines="50" w:before="180" w:line="360" w:lineRule="auto"/>
        <w:ind w:leftChars="0" w:firstLineChars="0"/>
        <w:rPr>
          <w:rFonts w:eastAsia="標楷體"/>
          <w:sz w:val="28"/>
          <w:szCs w:val="28"/>
        </w:rPr>
      </w:pPr>
      <w:r w:rsidRPr="00435D71">
        <w:rPr>
          <w:rFonts w:eastAsia="標楷體" w:hint="eastAsia"/>
          <w:sz w:val="28"/>
          <w:szCs w:val="28"/>
        </w:rPr>
        <w:t>員工</w:t>
      </w:r>
    </w:p>
    <w:p w:rsidR="00435D71" w:rsidRDefault="001675CC" w:rsidP="00435D71">
      <w:pPr>
        <w:pStyle w:val="3"/>
        <w:snapToGrid w:val="0"/>
        <w:spacing w:beforeLines="50" w:before="180" w:line="360" w:lineRule="auto"/>
        <w:ind w:leftChars="0" w:left="481" w:firstLineChars="0" w:firstLine="0"/>
        <w:rPr>
          <w:rFonts w:eastAsia="標楷體"/>
          <w:sz w:val="28"/>
          <w:szCs w:val="28"/>
        </w:rPr>
      </w:pPr>
      <w:r>
        <w:rPr>
          <w:rFonts w:eastAsia="標楷體" w:hint="eastAsia"/>
          <w:sz w:val="28"/>
          <w:szCs w:val="28"/>
        </w:rPr>
        <w:t>誠品生活</w:t>
      </w:r>
      <w:r w:rsidR="00435D71" w:rsidRPr="00435D71">
        <w:rPr>
          <w:rFonts w:eastAsia="標楷體" w:hint="eastAsia"/>
          <w:sz w:val="28"/>
          <w:szCs w:val="28"/>
        </w:rPr>
        <w:t>人力資源單位提供內部正式申訴</w:t>
      </w:r>
      <w:r w:rsidR="00435D71" w:rsidRPr="00435D71">
        <w:rPr>
          <w:rFonts w:eastAsia="標楷體" w:hint="eastAsia"/>
          <w:sz w:val="28"/>
          <w:szCs w:val="28"/>
        </w:rPr>
        <w:t>/</w:t>
      </w:r>
      <w:r w:rsidR="00435D71" w:rsidRPr="00435D71">
        <w:rPr>
          <w:rFonts w:eastAsia="標楷體" w:hint="eastAsia"/>
          <w:sz w:val="28"/>
          <w:szCs w:val="28"/>
        </w:rPr>
        <w:t>溝通管道，並定期舉辦勞資會議，協調勞資關係、促進勞資合作。亦透過新進員工座談會、人資座談會，增加雙方溝通機會。</w:t>
      </w:r>
    </w:p>
    <w:p w:rsidR="00435D71" w:rsidRDefault="00435D71" w:rsidP="00435D71">
      <w:pPr>
        <w:pStyle w:val="3"/>
        <w:numPr>
          <w:ilvl w:val="0"/>
          <w:numId w:val="10"/>
        </w:numPr>
        <w:snapToGrid w:val="0"/>
        <w:spacing w:beforeLines="50" w:before="180" w:line="360" w:lineRule="auto"/>
        <w:ind w:leftChars="0" w:firstLineChars="0"/>
        <w:rPr>
          <w:rFonts w:eastAsia="標楷體"/>
          <w:sz w:val="28"/>
          <w:szCs w:val="28"/>
        </w:rPr>
      </w:pPr>
      <w:r w:rsidRPr="00435D71">
        <w:rPr>
          <w:rFonts w:eastAsia="標楷體" w:hint="eastAsia"/>
          <w:sz w:val="28"/>
          <w:szCs w:val="28"/>
        </w:rPr>
        <w:t>顧客</w:t>
      </w:r>
    </w:p>
    <w:p w:rsidR="00435D71" w:rsidRDefault="001675CC" w:rsidP="00435D71">
      <w:pPr>
        <w:pStyle w:val="3"/>
        <w:snapToGrid w:val="0"/>
        <w:spacing w:beforeLines="50" w:before="180" w:line="360" w:lineRule="auto"/>
        <w:ind w:leftChars="0" w:left="481" w:firstLineChars="0" w:firstLine="0"/>
        <w:rPr>
          <w:rFonts w:eastAsia="標楷體"/>
          <w:sz w:val="28"/>
          <w:szCs w:val="28"/>
        </w:rPr>
      </w:pPr>
      <w:r>
        <w:rPr>
          <w:rFonts w:eastAsia="標楷體" w:hint="eastAsia"/>
          <w:sz w:val="28"/>
          <w:szCs w:val="28"/>
        </w:rPr>
        <w:t>誠品生活</w:t>
      </w:r>
      <w:r w:rsidR="00435D71" w:rsidRPr="00435D71">
        <w:rPr>
          <w:rFonts w:eastAsia="標楷體" w:hint="eastAsia"/>
          <w:sz w:val="28"/>
          <w:szCs w:val="28"/>
        </w:rPr>
        <w:t>係為</w:t>
      </w:r>
      <w:bookmarkStart w:id="0" w:name="_GoBack"/>
      <w:bookmarkEnd w:id="0"/>
      <w:r w:rsidR="00435D71" w:rsidRPr="00435D71">
        <w:rPr>
          <w:rFonts w:eastAsia="標楷體" w:hint="eastAsia"/>
          <w:sz w:val="28"/>
          <w:szCs w:val="28"/>
        </w:rPr>
        <w:t>以「生活與文化場域」的複合經營模式提供以文化為底蘊之豐富且多元的服務及空間氛圍，提供消費者獨特的商品組合及內容，以提升客戶忠誠度及滿意度為首要目標。因此，在各服務據點設有顧客意見函與客服信箱，並設有免</w:t>
      </w:r>
      <w:proofErr w:type="gramStart"/>
      <w:r w:rsidR="00435D71" w:rsidRPr="00435D71">
        <w:rPr>
          <w:rFonts w:eastAsia="標楷體" w:hint="eastAsia"/>
          <w:sz w:val="28"/>
          <w:szCs w:val="28"/>
        </w:rPr>
        <w:t>付費客服</w:t>
      </w:r>
      <w:proofErr w:type="gramEnd"/>
      <w:r w:rsidR="00435D71" w:rsidRPr="00435D71">
        <w:rPr>
          <w:rFonts w:eastAsia="標楷體" w:hint="eastAsia"/>
          <w:sz w:val="28"/>
          <w:szCs w:val="28"/>
        </w:rPr>
        <w:t>專線，以期在最短時間內使顧客反應皆能獲得妥適處理。</w:t>
      </w:r>
    </w:p>
    <w:p w:rsidR="00435D71" w:rsidRDefault="00435D71" w:rsidP="00435D71">
      <w:pPr>
        <w:pStyle w:val="3"/>
        <w:numPr>
          <w:ilvl w:val="0"/>
          <w:numId w:val="10"/>
        </w:numPr>
        <w:snapToGrid w:val="0"/>
        <w:spacing w:beforeLines="50" w:before="180" w:line="360" w:lineRule="auto"/>
        <w:ind w:leftChars="0" w:firstLineChars="0"/>
        <w:rPr>
          <w:rFonts w:eastAsia="標楷體"/>
          <w:sz w:val="28"/>
          <w:szCs w:val="28"/>
        </w:rPr>
      </w:pPr>
      <w:r>
        <w:rPr>
          <w:rFonts w:eastAsia="標楷體" w:hint="eastAsia"/>
          <w:sz w:val="28"/>
          <w:szCs w:val="28"/>
        </w:rPr>
        <w:t>合作廠商</w:t>
      </w:r>
    </w:p>
    <w:p w:rsidR="00435D71" w:rsidRPr="00435D71" w:rsidRDefault="00435D71" w:rsidP="00435D71">
      <w:pPr>
        <w:pStyle w:val="3"/>
        <w:snapToGrid w:val="0"/>
        <w:spacing w:beforeLines="50" w:before="180" w:line="360" w:lineRule="auto"/>
        <w:ind w:leftChars="0" w:left="481" w:firstLineChars="0" w:firstLine="0"/>
        <w:rPr>
          <w:rFonts w:eastAsia="標楷體"/>
          <w:sz w:val="28"/>
          <w:szCs w:val="28"/>
        </w:rPr>
      </w:pPr>
      <w:r w:rsidRPr="00435D71">
        <w:rPr>
          <w:rFonts w:eastAsia="標楷體" w:hint="eastAsia"/>
          <w:sz w:val="28"/>
          <w:szCs w:val="28"/>
        </w:rPr>
        <w:t>各商場專櫃廠商若有任何問題皆可以對應至專責的樓面管理人員協助處理。進行承包商及供應商遴選時，公司內部秉持透明公開之採購流程，嚴格要求同仁必須遵循法令、嚴守公司規定，不得直接或間接提供、收受、承諾或要求金錢、餽贈、服務、優待、款待、應酬及其他利益。亦規範相關人員、資產及財務管理，有效評估風險及建立適當之防火牆機制。</w:t>
      </w:r>
    </w:p>
    <w:sectPr w:rsidR="00435D71" w:rsidRPr="00435D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85" w:rsidRDefault="005C4E85" w:rsidP="00AB79AE">
      <w:r>
        <w:separator/>
      </w:r>
    </w:p>
  </w:endnote>
  <w:endnote w:type="continuationSeparator" w:id="0">
    <w:p w:rsidR="005C4E85" w:rsidRDefault="005C4E85" w:rsidP="00AB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85" w:rsidRDefault="005C4E85" w:rsidP="00AB79AE">
      <w:r>
        <w:separator/>
      </w:r>
    </w:p>
  </w:footnote>
  <w:footnote w:type="continuationSeparator" w:id="0">
    <w:p w:rsidR="005C4E85" w:rsidRDefault="005C4E85" w:rsidP="00AB7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46E1"/>
    <w:multiLevelType w:val="hybridMultilevel"/>
    <w:tmpl w:val="D0584612"/>
    <w:lvl w:ilvl="0" w:tplc="2EB2EDDA">
      <w:start w:val="1"/>
      <w:numFmt w:val="bullet"/>
      <w:lvlText w:val=""/>
      <w:lvlJc w:val="left"/>
      <w:pPr>
        <w:ind w:left="408" w:hanging="408"/>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73B6A0D"/>
    <w:multiLevelType w:val="hybridMultilevel"/>
    <w:tmpl w:val="AA54F15A"/>
    <w:lvl w:ilvl="0" w:tplc="2EB2EDDA">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2">
    <w:nsid w:val="235F24C4"/>
    <w:multiLevelType w:val="hybridMultilevel"/>
    <w:tmpl w:val="3EF6AEFA"/>
    <w:lvl w:ilvl="0" w:tplc="2EB2EDDA">
      <w:start w:val="1"/>
      <w:numFmt w:val="bullet"/>
      <w:lvlText w:val=""/>
      <w:lvlJc w:val="left"/>
      <w:pPr>
        <w:ind w:left="480" w:hanging="480"/>
      </w:pPr>
      <w:rPr>
        <w:rFonts w:ascii="Wingdings" w:hAnsi="Wingdings" w:hint="default"/>
      </w:rPr>
    </w:lvl>
    <w:lvl w:ilvl="1" w:tplc="04090009">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3F17BB1"/>
    <w:multiLevelType w:val="hybridMultilevel"/>
    <w:tmpl w:val="BFC4432E"/>
    <w:lvl w:ilvl="0" w:tplc="2EB2ED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4A344AF"/>
    <w:multiLevelType w:val="hybridMultilevel"/>
    <w:tmpl w:val="80944C30"/>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
    <w:nsid w:val="2D5A0A78"/>
    <w:multiLevelType w:val="hybridMultilevel"/>
    <w:tmpl w:val="E2289826"/>
    <w:lvl w:ilvl="0" w:tplc="2EB2EDDA">
      <w:start w:val="1"/>
      <w:numFmt w:val="bullet"/>
      <w:lvlText w:val=""/>
      <w:lvlJc w:val="left"/>
      <w:pPr>
        <w:ind w:left="480" w:hanging="480"/>
      </w:pPr>
      <w:rPr>
        <w:rFonts w:ascii="Wingdings" w:hAnsi="Wingdings" w:hint="default"/>
      </w:rPr>
    </w:lvl>
    <w:lvl w:ilvl="1" w:tplc="2EB2EDDA">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6D933CF"/>
    <w:multiLevelType w:val="hybridMultilevel"/>
    <w:tmpl w:val="4EBE59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29A705A"/>
    <w:multiLevelType w:val="hybridMultilevel"/>
    <w:tmpl w:val="112E7B06"/>
    <w:lvl w:ilvl="0" w:tplc="2EB2EDDA">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6A852FAB"/>
    <w:multiLevelType w:val="hybridMultilevel"/>
    <w:tmpl w:val="C88C514A"/>
    <w:lvl w:ilvl="0" w:tplc="2EB2EDDA">
      <w:start w:val="1"/>
      <w:numFmt w:val="bullet"/>
      <w:lvlText w:val=""/>
      <w:lvlJc w:val="left"/>
      <w:pPr>
        <w:ind w:left="481" w:hanging="480"/>
      </w:pPr>
      <w:rPr>
        <w:rFonts w:ascii="Wingdings" w:hAnsi="Wingding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9">
    <w:nsid w:val="7A0035FB"/>
    <w:multiLevelType w:val="hybridMultilevel"/>
    <w:tmpl w:val="5AFCCC9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5"/>
  </w:num>
  <w:num w:numId="3">
    <w:abstractNumId w:val="7"/>
  </w:num>
  <w:num w:numId="4">
    <w:abstractNumId w:val="9"/>
  </w:num>
  <w:num w:numId="5">
    <w:abstractNumId w:val="3"/>
  </w:num>
  <w:num w:numId="6">
    <w:abstractNumId w:val="2"/>
  </w:num>
  <w:num w:numId="7">
    <w:abstractNumId w:val="1"/>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40"/>
    <w:rsid w:val="00034BFD"/>
    <w:rsid w:val="000A026E"/>
    <w:rsid w:val="001675CC"/>
    <w:rsid w:val="00290841"/>
    <w:rsid w:val="00435D71"/>
    <w:rsid w:val="00525F92"/>
    <w:rsid w:val="005C4E85"/>
    <w:rsid w:val="00617EA9"/>
    <w:rsid w:val="00684941"/>
    <w:rsid w:val="00694E02"/>
    <w:rsid w:val="0083369C"/>
    <w:rsid w:val="00A906AA"/>
    <w:rsid w:val="00AB79AE"/>
    <w:rsid w:val="00B05230"/>
    <w:rsid w:val="00B232C9"/>
    <w:rsid w:val="00BA7A09"/>
    <w:rsid w:val="00C77407"/>
    <w:rsid w:val="00D96560"/>
    <w:rsid w:val="00DC3E5A"/>
    <w:rsid w:val="00EA0A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EA0A40"/>
    <w:pPr>
      <w:ind w:leftChars="199" w:left="2782" w:hangingChars="960" w:hanging="2304"/>
    </w:pPr>
  </w:style>
  <w:style w:type="character" w:customStyle="1" w:styleId="30">
    <w:name w:val="本文縮排 3 字元"/>
    <w:basedOn w:val="a0"/>
    <w:link w:val="3"/>
    <w:semiHidden/>
    <w:rsid w:val="00EA0A40"/>
    <w:rPr>
      <w:rFonts w:ascii="Times New Roman" w:eastAsia="新細明體" w:hAnsi="Times New Roman" w:cs="Times New Roman"/>
      <w:szCs w:val="24"/>
    </w:rPr>
  </w:style>
  <w:style w:type="paragraph" w:styleId="a3">
    <w:name w:val="List Paragraph"/>
    <w:basedOn w:val="a"/>
    <w:uiPriority w:val="34"/>
    <w:qFormat/>
    <w:rsid w:val="00BA7A09"/>
    <w:pPr>
      <w:ind w:leftChars="200" w:left="480"/>
    </w:pPr>
  </w:style>
  <w:style w:type="paragraph" w:styleId="a4">
    <w:name w:val="Balloon Text"/>
    <w:basedOn w:val="a"/>
    <w:link w:val="a5"/>
    <w:uiPriority w:val="99"/>
    <w:semiHidden/>
    <w:unhideWhenUsed/>
    <w:rsid w:val="00617EA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7EA9"/>
    <w:rPr>
      <w:rFonts w:asciiTheme="majorHAnsi" w:eastAsiaTheme="majorEastAsia" w:hAnsiTheme="majorHAnsi" w:cstheme="majorBidi"/>
      <w:sz w:val="18"/>
      <w:szCs w:val="18"/>
    </w:rPr>
  </w:style>
  <w:style w:type="paragraph" w:styleId="a6">
    <w:name w:val="header"/>
    <w:basedOn w:val="a"/>
    <w:link w:val="a7"/>
    <w:uiPriority w:val="99"/>
    <w:unhideWhenUsed/>
    <w:rsid w:val="00AB79AE"/>
    <w:pPr>
      <w:tabs>
        <w:tab w:val="center" w:pos="4153"/>
        <w:tab w:val="right" w:pos="8306"/>
      </w:tabs>
      <w:snapToGrid w:val="0"/>
    </w:pPr>
    <w:rPr>
      <w:sz w:val="20"/>
      <w:szCs w:val="20"/>
    </w:rPr>
  </w:style>
  <w:style w:type="character" w:customStyle="1" w:styleId="a7">
    <w:name w:val="頁首 字元"/>
    <w:basedOn w:val="a0"/>
    <w:link w:val="a6"/>
    <w:uiPriority w:val="99"/>
    <w:rsid w:val="00AB79AE"/>
    <w:rPr>
      <w:rFonts w:ascii="Times New Roman" w:eastAsia="新細明體" w:hAnsi="Times New Roman" w:cs="Times New Roman"/>
      <w:sz w:val="20"/>
      <w:szCs w:val="20"/>
    </w:rPr>
  </w:style>
  <w:style w:type="paragraph" w:styleId="a8">
    <w:name w:val="footer"/>
    <w:basedOn w:val="a"/>
    <w:link w:val="a9"/>
    <w:uiPriority w:val="99"/>
    <w:unhideWhenUsed/>
    <w:rsid w:val="00AB79AE"/>
    <w:pPr>
      <w:tabs>
        <w:tab w:val="center" w:pos="4153"/>
        <w:tab w:val="right" w:pos="8306"/>
      </w:tabs>
      <w:snapToGrid w:val="0"/>
    </w:pPr>
    <w:rPr>
      <w:sz w:val="20"/>
      <w:szCs w:val="20"/>
    </w:rPr>
  </w:style>
  <w:style w:type="character" w:customStyle="1" w:styleId="a9">
    <w:name w:val="頁尾 字元"/>
    <w:basedOn w:val="a0"/>
    <w:link w:val="a8"/>
    <w:uiPriority w:val="99"/>
    <w:rsid w:val="00AB79A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EA0A40"/>
    <w:pPr>
      <w:ind w:leftChars="199" w:left="2782" w:hangingChars="960" w:hanging="2304"/>
    </w:pPr>
  </w:style>
  <w:style w:type="character" w:customStyle="1" w:styleId="30">
    <w:name w:val="本文縮排 3 字元"/>
    <w:basedOn w:val="a0"/>
    <w:link w:val="3"/>
    <w:semiHidden/>
    <w:rsid w:val="00EA0A40"/>
    <w:rPr>
      <w:rFonts w:ascii="Times New Roman" w:eastAsia="新細明體" w:hAnsi="Times New Roman" w:cs="Times New Roman"/>
      <w:szCs w:val="24"/>
    </w:rPr>
  </w:style>
  <w:style w:type="paragraph" w:styleId="a3">
    <w:name w:val="List Paragraph"/>
    <w:basedOn w:val="a"/>
    <w:uiPriority w:val="34"/>
    <w:qFormat/>
    <w:rsid w:val="00BA7A09"/>
    <w:pPr>
      <w:ind w:leftChars="200" w:left="480"/>
    </w:pPr>
  </w:style>
  <w:style w:type="paragraph" w:styleId="a4">
    <w:name w:val="Balloon Text"/>
    <w:basedOn w:val="a"/>
    <w:link w:val="a5"/>
    <w:uiPriority w:val="99"/>
    <w:semiHidden/>
    <w:unhideWhenUsed/>
    <w:rsid w:val="00617EA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7EA9"/>
    <w:rPr>
      <w:rFonts w:asciiTheme="majorHAnsi" w:eastAsiaTheme="majorEastAsia" w:hAnsiTheme="majorHAnsi" w:cstheme="majorBidi"/>
      <w:sz w:val="18"/>
      <w:szCs w:val="18"/>
    </w:rPr>
  </w:style>
  <w:style w:type="paragraph" w:styleId="a6">
    <w:name w:val="header"/>
    <w:basedOn w:val="a"/>
    <w:link w:val="a7"/>
    <w:uiPriority w:val="99"/>
    <w:unhideWhenUsed/>
    <w:rsid w:val="00AB79AE"/>
    <w:pPr>
      <w:tabs>
        <w:tab w:val="center" w:pos="4153"/>
        <w:tab w:val="right" w:pos="8306"/>
      </w:tabs>
      <w:snapToGrid w:val="0"/>
    </w:pPr>
    <w:rPr>
      <w:sz w:val="20"/>
      <w:szCs w:val="20"/>
    </w:rPr>
  </w:style>
  <w:style w:type="character" w:customStyle="1" w:styleId="a7">
    <w:name w:val="頁首 字元"/>
    <w:basedOn w:val="a0"/>
    <w:link w:val="a6"/>
    <w:uiPriority w:val="99"/>
    <w:rsid w:val="00AB79AE"/>
    <w:rPr>
      <w:rFonts w:ascii="Times New Roman" w:eastAsia="新細明體" w:hAnsi="Times New Roman" w:cs="Times New Roman"/>
      <w:sz w:val="20"/>
      <w:szCs w:val="20"/>
    </w:rPr>
  </w:style>
  <w:style w:type="paragraph" w:styleId="a8">
    <w:name w:val="footer"/>
    <w:basedOn w:val="a"/>
    <w:link w:val="a9"/>
    <w:uiPriority w:val="99"/>
    <w:unhideWhenUsed/>
    <w:rsid w:val="00AB79AE"/>
    <w:pPr>
      <w:tabs>
        <w:tab w:val="center" w:pos="4153"/>
        <w:tab w:val="right" w:pos="8306"/>
      </w:tabs>
      <w:snapToGrid w:val="0"/>
    </w:pPr>
    <w:rPr>
      <w:sz w:val="20"/>
      <w:szCs w:val="20"/>
    </w:rPr>
  </w:style>
  <w:style w:type="character" w:customStyle="1" w:styleId="a9">
    <w:name w:val="頁尾 字元"/>
    <w:basedOn w:val="a0"/>
    <w:link w:val="a8"/>
    <w:uiPriority w:val="99"/>
    <w:rsid w:val="00AB79A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dc:creator>
  <cp:lastModifiedBy>RYAN</cp:lastModifiedBy>
  <cp:revision>8</cp:revision>
  <dcterms:created xsi:type="dcterms:W3CDTF">2013-09-02T06:56:00Z</dcterms:created>
  <dcterms:modified xsi:type="dcterms:W3CDTF">2013-09-12T02:16:00Z</dcterms:modified>
</cp:coreProperties>
</file>