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A5" w:rsidRPr="00687B30" w:rsidRDefault="00031CA5">
      <w:pPr>
        <w:spacing w:line="500" w:lineRule="exact"/>
        <w:jc w:val="center"/>
        <w:rPr>
          <w:rFonts w:ascii="新細明體"/>
          <w:spacing w:val="24"/>
        </w:rPr>
      </w:pPr>
      <w:bookmarkStart w:id="0" w:name="_GoBack"/>
      <w:bookmarkEnd w:id="0"/>
      <w:r w:rsidRPr="00687B30">
        <w:rPr>
          <w:rFonts w:ascii="新細明體" w:hint="eastAsia"/>
          <w:spacing w:val="24"/>
        </w:rPr>
        <w:t xml:space="preserve">　　　　　　證券股份有限公司</w:t>
      </w:r>
    </w:p>
    <w:p w:rsidR="00031CA5" w:rsidRPr="00687B30" w:rsidRDefault="00030532">
      <w:pPr>
        <w:spacing w:line="400" w:lineRule="exact"/>
        <w:jc w:val="center"/>
        <w:rPr>
          <w:rFonts w:ascii="新細明體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72335" cy="343535"/>
                <wp:effectExtent l="19050" t="19050" r="37465" b="374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35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CA5" w:rsidRDefault="003829FF">
                            <w:r>
                              <w:rPr>
                                <w:rFonts w:hint="eastAsia"/>
                              </w:rPr>
                              <w:t>作業週期：每月</w:t>
                            </w:r>
                            <w:r w:rsidR="00031CA5">
                              <w:rPr>
                                <w:rFonts w:hint="eastAsia"/>
                              </w:rPr>
                              <w:t>至少查核乙次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2pt;width:171.0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g77QIAAEAGAAAOAAAAZHJzL2Uyb0RvYy54bWysVE1v2zAMvQ/YfxB0d/2ZxDXqFKnjDAP2&#10;UawbdlYsORZmS56kxOmG/fdRcpIm3aUY6oMhShTF9/jIm9t916IdU5pLkePwKsCIiUpSLjY5/vZ1&#10;5aUYaUMEJa0ULMePTOPb+ds3N0OfsUg2sqVMIQgidDb0OW6M6TPf11XDOqKvZM8EHNZSdcSAqTY+&#10;VWSA6F3rR0Ew9QepaK9kxbSG3eV4iOcufl2zynyua80ManMMuRn3V+6/tn9/fkOyjSJ9w6tDGuQ/&#10;sugIF/DoKdSSGIK2iv8TquOVklrW5qqSnS/rmlfMYQA0YfAMzUNDeuawADm6P9GkXy9s9Wl3rxCn&#10;UDuMBOmgRF+ANCI2LUORpWfodQZeD/29sgB1/0FWPzQSsmjAiy2UkkPDCIWkQuvvX1ywhoaraD18&#10;lBSik62Rjql9rTobEDhAe1eQx1NB2N6gCjajcBbF8QSjCs7iJJ7A2j5BsuPtXmnzjskO2UWOFeTu&#10;opPdB21G16OLfUzIFW9b2CdZK9CQ40mQBoG7oWXLqT11KNVmXbQK7QjoZuW+w8MXbh03oN6WdzmG&#10;MPBZJ5JZOkpB3doQ3o5ryLoV9pg5XY75gbU3sHT7gNpp5vd1cF2mZZp4STQtvSRYLr3Fqki86Sqc&#10;TZbxsiiW4R+bdZhkDaeUCZv4Ub9h8jJ9HDppVN5JwRcA9Ut48C/TcPUBVJeQFqtJMEvi1JvNJrGX&#10;xGXg3aWrwlsU4XQ6K++Ku/IZpNLRpF8H1Ylzm5XcQtkeGjogyq1q4sl1BPKnHAZDNBsLiUi7gYlW&#10;GYWRkuY7N41rR6tRG+OCmRRUlLriQ5FP0UcijsW21qlcB2xPVMG9oxBcA9meGXvP7Nd7UJJtpLWk&#10;j9BKkI7rFxi7sGik+oXRACMsx/rnliiGUfte2Ha0WGDmnRvq3FifG0RUECrHBqNxWZhxTm57xTcN&#10;vBQ64EIuoIVr7rrrKSuAYg0YUw7UYaTaOXhuO6+nwT//CwAA//8DAFBLAwQUAAYACAAAACEAxV7C&#10;ddwAAAAFAQAADwAAAGRycy9kb3ducmV2LnhtbEyPQUvDQBCF74L/YRnBm92kRq0xk6IFKYgIrR48&#10;bpIxCcnOhuw0if/e9aSn4fEe732TbRfbq4lG3zpGiFcRKOLSVS3XCB/vz1cbUF4MV6Z3TAjf5GGb&#10;n59lJq3czAeajlKrUMI+NQiNyJBq7cuGrPErNxAH78uN1kiQY62r0cyh3PZ6HUW32pqWw0JjBto1&#10;VHbHk0Uokt3BTS/3b51M+q77nPev8rRHvLxYHh9ACS3yF4Zf/IAOeWAq3Ikrr3qE8IggJOEE8zpZ&#10;x6AKhJtNDDrP9H/6/AcAAP//AwBQSwECLQAUAAYACAAAACEAtoM4kv4AAADhAQAAEwAAAAAAAAAA&#10;AAAAAAAAAAAAW0NvbnRlbnRfVHlwZXNdLnhtbFBLAQItABQABgAIAAAAIQA4/SH/1gAAAJQBAAAL&#10;AAAAAAAAAAAAAAAAAC8BAABfcmVscy8ucmVsc1BLAQItABQABgAIAAAAIQAvkvg77QIAAEAGAAAO&#10;AAAAAAAAAAAAAAAAAC4CAABkcnMvZTJvRG9jLnhtbFBLAQItABQABgAIAAAAIQDFXsJ13AAAAAUB&#10;AAAPAAAAAAAAAAAAAAAAAEcFAABkcnMvZG93bnJldi54bWxQSwUGAAAAAAQABADzAAAAUAYAAAAA&#10;" o:allowincell="f" filled="f" strokecolor="white" strokeweight="4pt">
                <v:textbox inset="1pt,1pt,1pt,1pt">
                  <w:txbxContent>
                    <w:p w:rsidR="00031CA5" w:rsidRDefault="003829FF">
                      <w:r>
                        <w:rPr>
                          <w:rFonts w:hint="eastAsia"/>
                        </w:rPr>
                        <w:t>作業週期：每月</w:t>
                      </w:r>
                      <w:r w:rsidR="00031CA5">
                        <w:rPr>
                          <w:rFonts w:hint="eastAsia"/>
                        </w:rPr>
                        <w:t>至少查核乙次</w:t>
                      </w:r>
                    </w:p>
                  </w:txbxContent>
                </v:textbox>
              </v:rect>
            </w:pict>
          </mc:Fallback>
        </mc:AlternateContent>
      </w:r>
      <w:r w:rsidR="00031CA5" w:rsidRPr="00ED2D66">
        <w:rPr>
          <w:rFonts w:ascii="新細明體" w:hint="eastAsia"/>
        </w:rPr>
        <w:t>業務及收入循環：</w:t>
      </w:r>
      <w:r w:rsidR="00AA5A3B">
        <w:rPr>
          <w:rFonts w:ascii="新細明體" w:hint="eastAsia"/>
        </w:rPr>
        <w:t>櫃檯(其</w:t>
      </w:r>
      <w:r w:rsidR="00AA5A3B">
        <w:rPr>
          <w:rFonts w:ascii="新細明體"/>
        </w:rPr>
        <w:t>他</w:t>
      </w:r>
      <w:r w:rsidR="00AA5A3B">
        <w:rPr>
          <w:rFonts w:ascii="新細明體" w:hint="eastAsia"/>
        </w:rPr>
        <w:t>)</w:t>
      </w:r>
    </w:p>
    <w:p w:rsidR="00031CA5" w:rsidRPr="00687B30" w:rsidRDefault="003829FF">
      <w:pPr>
        <w:spacing w:line="300" w:lineRule="auto"/>
        <w:jc w:val="center"/>
        <w:rPr>
          <w:rFonts w:ascii="標楷體" w:eastAsia="標楷體"/>
          <w:spacing w:val="30"/>
        </w:rPr>
      </w:pPr>
      <w:r>
        <w:rPr>
          <w:rFonts w:ascii="新細明體" w:hint="eastAsia"/>
        </w:rPr>
        <w:t>經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股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權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性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質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群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眾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募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資</w:t>
      </w:r>
      <w:r w:rsidR="00511208" w:rsidRPr="00687B30">
        <w:rPr>
          <w:rFonts w:ascii="新細明體"/>
        </w:rPr>
        <w:t xml:space="preserve"> </w:t>
      </w:r>
      <w:r>
        <w:rPr>
          <w:rFonts w:ascii="新細明體" w:hint="eastAsia"/>
        </w:rPr>
        <w:t>業</w:t>
      </w:r>
      <w:r>
        <w:rPr>
          <w:rFonts w:ascii="新細明體"/>
        </w:rPr>
        <w:t xml:space="preserve"> </w:t>
      </w:r>
      <w:r>
        <w:rPr>
          <w:rFonts w:ascii="新細明體" w:hint="eastAsia"/>
        </w:rPr>
        <w:t>務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查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核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明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細</w:t>
      </w:r>
      <w:r w:rsidR="00031CA5" w:rsidRPr="00687B30">
        <w:rPr>
          <w:rFonts w:ascii="新細明體"/>
        </w:rPr>
        <w:t xml:space="preserve"> </w:t>
      </w:r>
      <w:r w:rsidR="00031CA5" w:rsidRPr="00687B30">
        <w:rPr>
          <w:rFonts w:ascii="新細明體" w:hint="eastAsia"/>
        </w:rPr>
        <w:t>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938"/>
        <w:gridCol w:w="567"/>
        <w:gridCol w:w="567"/>
        <w:gridCol w:w="1134"/>
        <w:gridCol w:w="1985"/>
      </w:tblGrid>
      <w:tr w:rsidR="00031CA5" w:rsidRPr="00687B30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</w:rPr>
              <w:t>項</w:t>
            </w:r>
            <w:r w:rsidRPr="00687B30">
              <w:rPr>
                <w:rFonts w:ascii="新細明體"/>
              </w:rPr>
              <w:t xml:space="preserve">     </w:t>
            </w:r>
            <w:r w:rsidRPr="00687B30">
              <w:rPr>
                <w:rFonts w:ascii="新細明體" w:hint="eastAsia"/>
              </w:rPr>
              <w:t>目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</w:tcBorders>
            <w:vAlign w:val="center"/>
          </w:tcPr>
          <w:p w:rsidR="00031CA5" w:rsidRPr="00974112" w:rsidRDefault="00031CA5">
            <w:pPr>
              <w:jc w:val="center"/>
              <w:rPr>
                <w:rFonts w:asciiTheme="minorEastAsia" w:eastAsiaTheme="minorEastAsia" w:hAnsiTheme="minorEastAsia"/>
              </w:rPr>
            </w:pPr>
            <w:r w:rsidRPr="00974112">
              <w:rPr>
                <w:rFonts w:asciiTheme="minorEastAsia" w:eastAsiaTheme="minorEastAsia" w:hAnsiTheme="minorEastAsia" w:hint="eastAsia"/>
              </w:rPr>
              <w:t>查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核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程</w:t>
            </w:r>
            <w:r w:rsidRPr="00974112">
              <w:rPr>
                <w:rFonts w:asciiTheme="minorEastAsia" w:eastAsiaTheme="minorEastAsia" w:hAnsiTheme="minorEastAsia"/>
              </w:rPr>
              <w:t xml:space="preserve">          </w:t>
            </w:r>
            <w:r w:rsidRPr="00974112">
              <w:rPr>
                <w:rFonts w:asciiTheme="minorEastAsia" w:eastAsiaTheme="minorEastAsia" w:hAnsiTheme="minorEastAsia" w:hint="eastAsia"/>
              </w:rPr>
              <w:t>序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  <w:spacing w:val="60"/>
              </w:rPr>
            </w:pPr>
            <w:r w:rsidRPr="00687B30">
              <w:rPr>
                <w:rFonts w:ascii="新細明體" w:hint="eastAsia"/>
                <w:spacing w:val="60"/>
                <w:sz w:val="22"/>
              </w:rPr>
              <w:t>查核結果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CA5" w:rsidRPr="00687B30" w:rsidRDefault="00031CA5">
            <w:pPr>
              <w:jc w:val="center"/>
              <w:rPr>
                <w:rFonts w:ascii="新細明體"/>
              </w:rPr>
            </w:pPr>
            <w:r w:rsidRPr="00687B30">
              <w:rPr>
                <w:rFonts w:ascii="新細明體" w:hint="eastAsia"/>
                <w:spacing w:val="60"/>
              </w:rPr>
              <w:t>底稿索引</w:t>
            </w:r>
          </w:p>
        </w:tc>
      </w:tr>
      <w:tr w:rsidR="00031CA5" w:rsidRPr="00687B30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7938" w:type="dxa"/>
            <w:vMerge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是</w:t>
            </w:r>
          </w:p>
        </w:tc>
        <w:tc>
          <w:tcPr>
            <w:tcW w:w="567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否</w:t>
            </w:r>
          </w:p>
        </w:tc>
        <w:tc>
          <w:tcPr>
            <w:tcW w:w="1134" w:type="dxa"/>
          </w:tcPr>
          <w:p w:rsidR="00031CA5" w:rsidRPr="00687B30" w:rsidRDefault="00031CA5">
            <w:pPr>
              <w:jc w:val="center"/>
              <w:rPr>
                <w:rFonts w:ascii="新細明體"/>
                <w:sz w:val="22"/>
              </w:rPr>
            </w:pPr>
            <w:r w:rsidRPr="00687B30">
              <w:rPr>
                <w:rFonts w:ascii="新細明體" w:hint="eastAsia"/>
                <w:sz w:val="22"/>
              </w:rPr>
              <w:t>不適用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303FEC">
        <w:trPr>
          <w:trHeight w:hRule="exact" w:val="6559"/>
        </w:trPr>
        <w:tc>
          <w:tcPr>
            <w:tcW w:w="1985" w:type="dxa"/>
            <w:tcBorders>
              <w:left w:val="single" w:sz="12" w:space="0" w:color="auto"/>
            </w:tcBorders>
          </w:tcPr>
          <w:p w:rsidR="00031CA5" w:rsidRPr="00687B30" w:rsidRDefault="00CE209D">
            <w:pPr>
              <w:spacing w:line="240" w:lineRule="atLeast"/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經營股權性質群眾募資-財</w:t>
            </w:r>
            <w:r>
              <w:rPr>
                <w:rFonts w:ascii="新細明體" w:hAnsi="新細明體"/>
                <w:color w:val="000000"/>
                <w:spacing w:val="10"/>
              </w:rPr>
              <w:t>務</w:t>
            </w:r>
            <w:r w:rsidR="007714E1">
              <w:rPr>
                <w:rFonts w:ascii="新細明體" w:hAnsi="新細明體" w:hint="eastAsia"/>
                <w:color w:val="000000"/>
                <w:spacing w:val="10"/>
              </w:rPr>
              <w:t>管</w:t>
            </w:r>
            <w:r w:rsidR="007714E1">
              <w:rPr>
                <w:rFonts w:ascii="新細明體" w:hAnsi="新細明體"/>
                <w:color w:val="000000"/>
                <w:spacing w:val="10"/>
              </w:rPr>
              <w:t>理</w:t>
            </w:r>
            <w:r>
              <w:rPr>
                <w:rFonts w:ascii="新細明體" w:hAnsi="新細明體"/>
                <w:color w:val="000000"/>
                <w:spacing w:val="10"/>
              </w:rPr>
              <w:t>查核</w:t>
            </w:r>
          </w:p>
        </w:tc>
        <w:tc>
          <w:tcPr>
            <w:tcW w:w="7938" w:type="dxa"/>
          </w:tcPr>
          <w:p w:rsidR="00CE209D" w:rsidRPr="00D02BB6" w:rsidRDefault="00CE209D" w:rsidP="0015379E">
            <w:pPr>
              <w:pStyle w:val="aa"/>
              <w:numPr>
                <w:ilvl w:val="0"/>
                <w:numId w:val="10"/>
              </w:numPr>
              <w:adjustRightInd/>
              <w:snapToGrid w:val="0"/>
              <w:spacing w:line="360" w:lineRule="exact"/>
              <w:ind w:leftChars="0" w:left="822" w:hanging="567"/>
              <w:jc w:val="both"/>
              <w:textAlignment w:val="auto"/>
              <w:rPr>
                <w:rFonts w:ascii="新細明體" w:hAnsi="新細明體"/>
                <w:strike/>
                <w:color w:val="FF0000"/>
                <w:spacing w:val="10"/>
              </w:rPr>
            </w:pP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公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司除法令另有規定外，其對外負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債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總額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是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否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未超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過其淨值。</w:t>
            </w:r>
          </w:p>
          <w:p w:rsidR="00CE209D" w:rsidRPr="00D02BB6" w:rsidRDefault="00CE209D" w:rsidP="0015379E">
            <w:pPr>
              <w:pStyle w:val="aa"/>
              <w:numPr>
                <w:ilvl w:val="0"/>
                <w:numId w:val="10"/>
              </w:numPr>
              <w:adjustRightInd/>
              <w:snapToGrid w:val="0"/>
              <w:spacing w:line="360" w:lineRule="exact"/>
              <w:ind w:leftChars="0" w:left="822" w:hanging="567"/>
              <w:jc w:val="both"/>
              <w:textAlignment w:val="auto"/>
              <w:rPr>
                <w:rFonts w:ascii="新細明體" w:hAnsi="新細明體"/>
                <w:strike/>
                <w:color w:val="000000"/>
                <w:spacing w:val="10"/>
              </w:rPr>
            </w:pP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公司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之資金除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法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令另有規定外，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非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屬經營業務所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需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者，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是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否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未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貸與他人或移作他項用</w:t>
            </w: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途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。</w:t>
            </w:r>
          </w:p>
          <w:p w:rsidR="00CE209D" w:rsidRPr="00D02BB6" w:rsidRDefault="00CE209D" w:rsidP="0015379E">
            <w:pPr>
              <w:pStyle w:val="aa"/>
              <w:numPr>
                <w:ilvl w:val="0"/>
                <w:numId w:val="10"/>
              </w:numPr>
              <w:adjustRightInd/>
              <w:snapToGrid w:val="0"/>
              <w:spacing w:line="360" w:lineRule="exact"/>
              <w:ind w:leftChars="0" w:left="822" w:hanging="567"/>
              <w:jc w:val="both"/>
              <w:textAlignment w:val="auto"/>
              <w:rPr>
                <w:rFonts w:ascii="新細明體" w:hAnsi="新細明體"/>
                <w:strike/>
                <w:color w:val="000000"/>
                <w:spacing w:val="10"/>
              </w:rPr>
            </w:pPr>
            <w:r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公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司</w:t>
            </w:r>
            <w:r w:rsidR="006B2D7D"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除法</w:t>
            </w:r>
            <w:r w:rsidR="006B2D7D" w:rsidRPr="00D02BB6">
              <w:rPr>
                <w:rFonts w:ascii="新細明體" w:hAnsi="新細明體"/>
                <w:strike/>
                <w:color w:val="FF0000"/>
                <w:spacing w:val="10"/>
              </w:rPr>
              <w:t>令另有規定外，</w:t>
            </w:r>
            <w:r w:rsidR="001202B2" w:rsidRPr="00D02BB6">
              <w:rPr>
                <w:rFonts w:ascii="新細明體" w:hAnsi="新細明體" w:hint="eastAsia"/>
                <w:strike/>
                <w:color w:val="FF0000"/>
                <w:spacing w:val="10"/>
              </w:rPr>
              <w:t>是否</w:t>
            </w:r>
            <w:r w:rsidR="001202B2" w:rsidRPr="00D02BB6">
              <w:rPr>
                <w:rFonts w:ascii="新細明體" w:hAnsi="新細明體"/>
                <w:strike/>
                <w:color w:val="FF0000"/>
                <w:spacing w:val="10"/>
              </w:rPr>
              <w:t>未轉投資</w:t>
            </w:r>
            <w:r w:rsidRPr="00D02BB6">
              <w:rPr>
                <w:rFonts w:ascii="新細明體" w:hAnsi="新細明體"/>
                <w:strike/>
                <w:color w:val="FF0000"/>
                <w:spacing w:val="10"/>
              </w:rPr>
              <w:t>。</w:t>
            </w:r>
          </w:p>
          <w:p w:rsidR="00303FEC" w:rsidRPr="00303FEC" w:rsidRDefault="00303FEC" w:rsidP="0015379E">
            <w:pPr>
              <w:spacing w:line="380" w:lineRule="exact"/>
              <w:ind w:leftChars="118" w:left="709" w:hangingChars="164" w:hanging="426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  <w:spacing w:val="10"/>
              </w:rPr>
              <w:t>(一)</w:t>
            </w:r>
            <w:r w:rsidRPr="001054F8">
              <w:rPr>
                <w:rFonts w:ascii="新細明體" w:hAnsi="新細明體" w:hint="eastAsia"/>
              </w:rPr>
              <w:t xml:space="preserve"> 公司</w:t>
            </w:r>
            <w:r w:rsidRPr="001054F8">
              <w:rPr>
                <w:rFonts w:ascii="新細明體" w:hAnsi="新細明體" w:hint="eastAsia"/>
                <w:color w:val="FF0000"/>
                <w:u w:val="single"/>
              </w:rPr>
              <w:t>若為僅經營股權性質群眾募資業務之證券商</w:t>
            </w:r>
            <w:r w:rsidRPr="001054F8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其財務比率、資金運用及轉投資</w:t>
            </w:r>
            <w:r w:rsidR="008C0BC6">
              <w:rPr>
                <w:rFonts w:ascii="新細明體" w:hAnsi="新細明體" w:hint="eastAsia"/>
              </w:rPr>
              <w:t>是否</w:t>
            </w:r>
            <w:r>
              <w:rPr>
                <w:rFonts w:ascii="新細明體" w:hAnsi="新細明體" w:hint="eastAsia"/>
              </w:rPr>
              <w:t>符合下列規定</w:t>
            </w:r>
            <w:r>
              <w:rPr>
                <w:rFonts w:ascii="新細明體" w:hAnsi="新細明體"/>
              </w:rPr>
              <w:br/>
              <w:t>1.</w:t>
            </w:r>
            <w:r w:rsidRPr="001054F8">
              <w:rPr>
                <w:rFonts w:ascii="新細明體" w:hAnsi="新細明體" w:hint="eastAsia"/>
              </w:rPr>
              <w:t>其對外負債總額</w:t>
            </w:r>
            <w:r w:rsidR="008C0BC6">
              <w:rPr>
                <w:rFonts w:ascii="新細明體" w:hAnsi="新細明體" w:hint="eastAsia"/>
              </w:rPr>
              <w:t>未</w:t>
            </w:r>
            <w:r w:rsidRPr="001054F8">
              <w:rPr>
                <w:rFonts w:ascii="新細明體" w:hAnsi="新細明體" w:hint="eastAsia"/>
              </w:rPr>
              <w:t>超過其淨值。</w:t>
            </w:r>
            <w:r>
              <w:rPr>
                <w:rFonts w:ascii="新細明體" w:hAnsi="新細明體"/>
              </w:rPr>
              <w:br/>
            </w:r>
            <w:r>
              <w:rPr>
                <w:rFonts w:asciiTheme="minorEastAsia" w:eastAsiaTheme="minorEastAsia" w:hAnsiTheme="minorEastAsia"/>
              </w:rPr>
              <w:t>2.</w:t>
            </w:r>
            <w:r>
              <w:rPr>
                <w:rFonts w:asciiTheme="minorEastAsia" w:eastAsiaTheme="minorEastAsia" w:hAnsiTheme="minorEastAsia" w:hint="eastAsia"/>
              </w:rPr>
              <w:t>其資金非屬業務所需者，</w:t>
            </w:r>
            <w:r w:rsidR="008C0BC6">
              <w:rPr>
                <w:rFonts w:asciiTheme="minorEastAsia" w:eastAsiaTheme="minorEastAsia" w:hAnsiTheme="minorEastAsia" w:hint="eastAsia"/>
              </w:rPr>
              <w:t>未</w:t>
            </w:r>
            <w:r>
              <w:rPr>
                <w:rFonts w:asciiTheme="minorEastAsia" w:eastAsiaTheme="minorEastAsia" w:hAnsiTheme="minorEastAsia" w:hint="eastAsia"/>
              </w:rPr>
              <w:t>貸與他人或移作他項用途。</w:t>
            </w:r>
            <w:r>
              <w:rPr>
                <w:rFonts w:ascii="新細明體" w:hAnsi="新細明體"/>
              </w:rPr>
              <w:br/>
            </w:r>
            <w:r>
              <w:rPr>
                <w:rFonts w:asciiTheme="minorEastAsia" w:eastAsiaTheme="minorEastAsia" w:hAnsiTheme="minorEastAsia"/>
              </w:rPr>
              <w:t>3.</w:t>
            </w:r>
            <w:r w:rsidR="008C0BC6">
              <w:rPr>
                <w:rFonts w:ascii="新細明體" w:hAnsi="新細明體" w:hint="eastAsia"/>
                <w:color w:val="FF0000"/>
                <w:u w:val="single"/>
              </w:rPr>
              <w:t>僅限參與認購於其募資平台辦理股權募資之公司股票，且是否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符合下列規定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t>: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br/>
            </w:r>
            <w:r>
              <w:rPr>
                <w:rFonts w:ascii="新細明體" w:hAnsi="新細明體"/>
                <w:color w:val="FF0000"/>
                <w:u w:val="single"/>
              </w:rPr>
              <w:t>(1)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t>.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持有任一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募資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公司股份之總額</w:t>
            </w:r>
            <w:r w:rsidR="008C0BC6">
              <w:rPr>
                <w:rFonts w:ascii="新細明體" w:hAnsi="新細明體" w:hint="eastAsia"/>
                <w:color w:val="FF0000"/>
                <w:u w:val="single"/>
              </w:rPr>
              <w:t>未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超過該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募資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公司股份總額之百分之十。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br/>
            </w:r>
            <w:r>
              <w:rPr>
                <w:rFonts w:ascii="新細明體" w:hAnsi="新細明體"/>
                <w:color w:val="FF0000"/>
                <w:u w:val="single"/>
              </w:rPr>
              <w:t>(2)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t>.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持有任一及所有</w:t>
            </w:r>
            <w:r>
              <w:rPr>
                <w:rFonts w:ascii="新細明體" w:hAnsi="新細明體" w:hint="eastAsia"/>
                <w:color w:val="FF0000"/>
                <w:u w:val="single"/>
              </w:rPr>
              <w:t>募資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公司股份之成本總額，各</w:t>
            </w:r>
            <w:r w:rsidR="008C0BC6">
              <w:rPr>
                <w:rFonts w:ascii="新細明體" w:hAnsi="新細明體" w:hint="eastAsia"/>
                <w:color w:val="FF0000"/>
                <w:u w:val="single"/>
              </w:rPr>
              <w:t>未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超過公司淨值之百分之二十及百分之四十。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br/>
            </w:r>
            <w:r>
              <w:rPr>
                <w:rFonts w:ascii="新細明體" w:hAnsi="新細明體"/>
                <w:color w:val="FF0000"/>
                <w:u w:val="single"/>
              </w:rPr>
              <w:t>(3)</w:t>
            </w:r>
            <w:r w:rsidRPr="001B27EE">
              <w:rPr>
                <w:rFonts w:ascii="新細明體" w:hAnsi="新細明體"/>
                <w:color w:val="FF0000"/>
                <w:u w:val="single"/>
              </w:rPr>
              <w:t>.</w:t>
            </w:r>
            <w:r w:rsidRPr="001B27EE">
              <w:rPr>
                <w:rFonts w:ascii="新細明體" w:hAnsi="新細明體" w:hint="eastAsia"/>
                <w:color w:val="FF0000"/>
                <w:u w:val="single"/>
              </w:rPr>
              <w:t>對投資部位訂定投資前投資決策、投資</w:t>
            </w:r>
            <w:r w:rsidRPr="001054F8">
              <w:rPr>
                <w:rFonts w:ascii="新細明體" w:hAnsi="新細明體" w:hint="eastAsia"/>
                <w:color w:val="FF0000"/>
                <w:u w:val="single"/>
              </w:rPr>
              <w:t>後管理及風險評估等機制。</w:t>
            </w:r>
            <w:r w:rsidRPr="001054F8">
              <w:rPr>
                <w:rFonts w:ascii="新細明體" w:hAnsi="新細明體"/>
                <w:color w:val="FF0000"/>
                <w:u w:val="single"/>
              </w:rPr>
              <w:br/>
            </w:r>
            <w:r>
              <w:rPr>
                <w:rFonts w:ascii="新細明體" w:hAnsi="新細明體"/>
                <w:color w:val="FF0000"/>
                <w:u w:val="single"/>
              </w:rPr>
              <w:t>(4)</w:t>
            </w:r>
            <w:r w:rsidRPr="001054F8">
              <w:rPr>
                <w:rFonts w:ascii="新細明體" w:hAnsi="新細明體"/>
                <w:color w:val="FF0000"/>
                <w:u w:val="single"/>
              </w:rPr>
              <w:t>.</w:t>
            </w:r>
            <w:r w:rsidRPr="001054F8">
              <w:rPr>
                <w:rFonts w:ascii="新細明體" w:hAnsi="新細明體" w:hint="eastAsia"/>
                <w:color w:val="FF0000"/>
                <w:u w:val="single"/>
              </w:rPr>
              <w:t>嗣後其股票轉讓對象僅限於「證券商經營股權性質群眾募資管理辦法」中所訂之天使投資人。</w:t>
            </w: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標楷體" w:eastAsia="標楷體"/>
              </w:rPr>
            </w:pPr>
          </w:p>
          <w:p w:rsidR="00031CA5" w:rsidRPr="00687B30" w:rsidRDefault="00031CA5">
            <w:pPr>
              <w:jc w:val="center"/>
              <w:rPr>
                <w:rFonts w:ascii="標楷體" w:eastAsia="標楷體"/>
              </w:rPr>
            </w:pPr>
          </w:p>
          <w:p w:rsidR="00031CA5" w:rsidRPr="00687B30" w:rsidRDefault="00031CA5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134" w:type="dxa"/>
          </w:tcPr>
          <w:p w:rsidR="00031CA5" w:rsidRPr="00687B30" w:rsidRDefault="00031CA5">
            <w:pPr>
              <w:rPr>
                <w:rFonts w:ascii="新細明體"/>
              </w:rPr>
            </w:pPr>
          </w:p>
          <w:p w:rsidR="00031CA5" w:rsidRPr="00687B30" w:rsidRDefault="00031CA5">
            <w:pPr>
              <w:jc w:val="center"/>
              <w:rPr>
                <w:rFonts w:ascii="新細明體"/>
              </w:rPr>
            </w:pPr>
          </w:p>
          <w:p w:rsidR="00031CA5" w:rsidRPr="00687B30" w:rsidRDefault="00031CA5">
            <w:pPr>
              <w:rPr>
                <w:rFonts w:ascii="新細明體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31CA5" w:rsidRPr="00687B30" w:rsidRDefault="00031CA5">
            <w:pPr>
              <w:rPr>
                <w:rFonts w:ascii="新細明體"/>
              </w:rPr>
            </w:pPr>
          </w:p>
        </w:tc>
      </w:tr>
      <w:tr w:rsidR="00031CA5" w:rsidRPr="00687B30" w:rsidTr="003E2F46">
        <w:trPr>
          <w:cantSplit/>
          <w:trHeight w:hRule="exact" w:val="1005"/>
        </w:trPr>
        <w:tc>
          <w:tcPr>
            <w:tcW w:w="14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CA5" w:rsidRPr="00687B30" w:rsidRDefault="00031CA5">
            <w:pPr>
              <w:ind w:firstLine="180"/>
            </w:pPr>
            <w:r w:rsidRPr="00687B30">
              <w:rPr>
                <w:rFonts w:hint="eastAsia"/>
                <w:spacing w:val="24"/>
              </w:rPr>
              <w:t>備</w:t>
            </w:r>
            <w:r w:rsidRPr="00687B30">
              <w:rPr>
                <w:spacing w:val="24"/>
              </w:rPr>
              <w:t xml:space="preserve">  </w:t>
            </w:r>
            <w:r w:rsidRPr="00687B30">
              <w:rPr>
                <w:rFonts w:hint="eastAsia"/>
                <w:spacing w:val="24"/>
              </w:rPr>
              <w:t>註：</w:t>
            </w:r>
            <w:r w:rsidR="00F76D93">
              <w:rPr>
                <w:spacing w:val="24"/>
              </w:rPr>
              <w:t xml:space="preserve"> </w:t>
            </w:r>
          </w:p>
        </w:tc>
      </w:tr>
    </w:tbl>
    <w:p w:rsidR="00031CA5" w:rsidRPr="00687B30" w:rsidRDefault="00031CA5">
      <w:pPr>
        <w:spacing w:line="500" w:lineRule="atLeast"/>
        <w:ind w:firstLine="9361"/>
        <w:jc w:val="both"/>
        <w:rPr>
          <w:rFonts w:eastAsia="標楷體"/>
        </w:rPr>
      </w:pPr>
      <w:r w:rsidRPr="00687B30">
        <w:rPr>
          <w:rFonts w:hint="eastAsia"/>
          <w:spacing w:val="24"/>
        </w:rPr>
        <w:t>稽核人員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　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日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>期</w:t>
      </w:r>
      <w:r w:rsidRPr="00687B30">
        <w:rPr>
          <w:spacing w:val="24"/>
        </w:rPr>
        <w:t xml:space="preserve"> </w:t>
      </w:r>
      <w:r w:rsidRPr="00687B30">
        <w:rPr>
          <w:rFonts w:hint="eastAsia"/>
          <w:spacing w:val="24"/>
        </w:rPr>
        <w:t xml:space="preserve">　　　</w:t>
      </w:r>
      <w:r w:rsidRPr="00687B30">
        <w:rPr>
          <w:rFonts w:eastAsia="標楷體" w:hint="eastAsia"/>
          <w:spacing w:val="24"/>
        </w:rPr>
        <w:t xml:space="preserve">　</w:t>
      </w:r>
    </w:p>
    <w:sectPr w:rsidR="00031CA5" w:rsidRPr="00687B30" w:rsidSect="00F94ED4">
      <w:pgSz w:w="16840" w:h="11907" w:orient="landscape" w:code="9"/>
      <w:pgMar w:top="719" w:right="1418" w:bottom="284" w:left="1418" w:header="851" w:footer="992" w:gutter="0"/>
      <w:pgNumType w:start="36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77" w:rsidRDefault="007B2477">
      <w:pPr>
        <w:spacing w:line="240" w:lineRule="auto"/>
      </w:pPr>
      <w:r>
        <w:separator/>
      </w:r>
    </w:p>
  </w:endnote>
  <w:endnote w:type="continuationSeparator" w:id="0">
    <w:p w:rsidR="007B2477" w:rsidRDefault="007B2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77" w:rsidRDefault="007B2477">
      <w:pPr>
        <w:spacing w:line="240" w:lineRule="auto"/>
      </w:pPr>
      <w:r>
        <w:separator/>
      </w:r>
    </w:p>
  </w:footnote>
  <w:footnote w:type="continuationSeparator" w:id="0">
    <w:p w:rsidR="007B2477" w:rsidRDefault="007B2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A47"/>
    <w:multiLevelType w:val="multilevel"/>
    <w:tmpl w:val="234473BC"/>
    <w:lvl w:ilvl="0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cs="Times New Roman" w:hint="eastAsia"/>
      </w:rPr>
    </w:lvl>
    <w:lvl w:ilvl="1">
      <w:start w:val="1"/>
      <w:numFmt w:val="taiwaneseCountingThousand"/>
      <w:suff w:val="space"/>
      <w:lvlText w:val="(%2)"/>
      <w:lvlJc w:val="left"/>
      <w:pPr>
        <w:ind w:left="1021" w:hanging="454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454"/>
      </w:pPr>
      <w:rPr>
        <w:rFonts w:cs="Times New Roman" w:hint="eastAsia"/>
      </w:rPr>
    </w:lvl>
    <w:lvl w:ilvl="3">
      <w:start w:val="1"/>
      <w:numFmt w:val="decimal"/>
      <w:lvlText w:val="(%4) "/>
      <w:lvlJc w:val="left"/>
      <w:pPr>
        <w:tabs>
          <w:tab w:val="num" w:pos="2126"/>
        </w:tabs>
        <w:ind w:left="2126" w:hanging="595"/>
      </w:pPr>
      <w:rPr>
        <w:rFonts w:cs="Times New Roman" w:hint="eastAsia"/>
      </w:rPr>
    </w:lvl>
    <w:lvl w:ilvl="4">
      <w:start w:val="1"/>
      <w:numFmt w:val="upperLetter"/>
      <w:suff w:val="space"/>
      <w:lvlText w:val="%5."/>
      <w:lvlJc w:val="left"/>
      <w:pPr>
        <w:ind w:left="2041" w:firstLine="170"/>
      </w:pPr>
      <w:rPr>
        <w:rFonts w:cs="Times New Roman" w:hint="eastAsia"/>
      </w:rPr>
    </w:lvl>
    <w:lvl w:ilvl="5">
      <w:start w:val="1"/>
      <w:numFmt w:val="lowerLetter"/>
      <w:suff w:val="space"/>
      <w:lvlText w:val="%6."/>
      <w:lvlJc w:val="left"/>
      <w:pPr>
        <w:ind w:left="2892" w:hanging="28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298E5F92"/>
    <w:multiLevelType w:val="hybridMultilevel"/>
    <w:tmpl w:val="FA10C668"/>
    <w:lvl w:ilvl="0" w:tplc="AAF0561C">
      <w:start w:val="1"/>
      <w:numFmt w:val="taiwaneseCountingThousand"/>
      <w:lvlText w:val="(%1)"/>
      <w:lvlJc w:val="left"/>
      <w:pPr>
        <w:ind w:left="1350" w:hanging="51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 w15:restartNumberingAfterBreak="0">
    <w:nsid w:val="35373865"/>
    <w:multiLevelType w:val="hybridMultilevel"/>
    <w:tmpl w:val="6C9AEBDE"/>
    <w:lvl w:ilvl="0" w:tplc="9E3E5DDE">
      <w:start w:val="6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E836355"/>
    <w:multiLevelType w:val="singleLevel"/>
    <w:tmpl w:val="E9561942"/>
    <w:lvl w:ilvl="0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</w:abstractNum>
  <w:abstractNum w:abstractNumId="4" w15:restartNumberingAfterBreak="0">
    <w:nsid w:val="487C019D"/>
    <w:multiLevelType w:val="hybridMultilevel"/>
    <w:tmpl w:val="0EA8950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59A71537"/>
    <w:multiLevelType w:val="hybridMultilevel"/>
    <w:tmpl w:val="075814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2F73A84"/>
    <w:multiLevelType w:val="multilevel"/>
    <w:tmpl w:val="14F6A60E"/>
    <w:lvl w:ilvl="0">
      <w:start w:val="1"/>
      <w:numFmt w:val="aiueo"/>
      <w:lvlText w:val="%1、"/>
      <w:legacy w:legacy="1" w:legacySpace="0" w:legacyIndent="567"/>
      <w:lvlJc w:val="left"/>
      <w:pPr>
        <w:ind w:left="567" w:hanging="567"/>
      </w:pPr>
      <w:rPr>
        <w:rFonts w:cs="Times New Roman"/>
      </w:rPr>
    </w:lvl>
    <w:lvl w:ilvl="1">
      <w:start w:val="1"/>
      <w:numFmt w:val="aiueo"/>
      <w:lvlText w:val="(%2)"/>
      <w:legacy w:legacy="1" w:legacySpace="0" w:legacyIndent="510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1502" w:hanging="425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25"/>
      <w:lvlJc w:val="left"/>
      <w:pPr>
        <w:ind w:left="1927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352" w:hanging="425"/>
      </w:pPr>
      <w:rPr>
        <w:rFonts w:cs="Times New Roman"/>
      </w:rPr>
    </w:lvl>
    <w:lvl w:ilvl="5">
      <w:start w:val="1"/>
      <w:numFmt w:val="lowerLetter"/>
      <w:lvlText w:val="%6."/>
      <w:legacy w:legacy="1" w:legacySpace="0" w:legacyIndent="425"/>
      <w:lvlJc w:val="left"/>
      <w:pPr>
        <w:ind w:left="2777" w:hanging="425"/>
      </w:pPr>
      <w:rPr>
        <w:rFonts w:cs="Times New Roman"/>
      </w:rPr>
    </w:lvl>
    <w:lvl w:ilvl="6">
      <w:start w:val="1"/>
      <w:numFmt w:val="lowerLetter"/>
      <w:lvlText w:val="%7)"/>
      <w:legacy w:legacy="1" w:legacySpace="0" w:legacyIndent="425"/>
      <w:lvlJc w:val="left"/>
      <w:pPr>
        <w:ind w:left="3202" w:hanging="425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425"/>
      <w:lvlJc w:val="left"/>
      <w:pPr>
        <w:ind w:left="3627" w:hanging="425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5"/>
      <w:lvlJc w:val="left"/>
      <w:pPr>
        <w:ind w:left="4052" w:hanging="425"/>
      </w:pPr>
      <w:rPr>
        <w:rFonts w:cs="Times New Roman"/>
      </w:rPr>
    </w:lvl>
  </w:abstractNum>
  <w:abstractNum w:abstractNumId="7" w15:restartNumberingAfterBreak="0">
    <w:nsid w:val="764F0792"/>
    <w:multiLevelType w:val="multilevel"/>
    <w:tmpl w:val="9692EEF6"/>
    <w:lvl w:ilvl="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851" w:hanging="284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 w15:restartNumberingAfterBreak="0">
    <w:nsid w:val="7715327F"/>
    <w:multiLevelType w:val="hybridMultilevel"/>
    <w:tmpl w:val="161CAD8A"/>
    <w:lvl w:ilvl="0" w:tplc="2684EFBC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  <w:strike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E87832"/>
    <w:multiLevelType w:val="hybridMultilevel"/>
    <w:tmpl w:val="B5C012A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C5"/>
    <w:rsid w:val="0000715C"/>
    <w:rsid w:val="00014B80"/>
    <w:rsid w:val="00026AC2"/>
    <w:rsid w:val="00026D72"/>
    <w:rsid w:val="00030532"/>
    <w:rsid w:val="00031CA5"/>
    <w:rsid w:val="00036F39"/>
    <w:rsid w:val="00044FAB"/>
    <w:rsid w:val="00070731"/>
    <w:rsid w:val="0007168D"/>
    <w:rsid w:val="00084EA9"/>
    <w:rsid w:val="000A0277"/>
    <w:rsid w:val="000A4E4C"/>
    <w:rsid w:val="000A7C12"/>
    <w:rsid w:val="000C520D"/>
    <w:rsid w:val="000E4067"/>
    <w:rsid w:val="001202B2"/>
    <w:rsid w:val="0015379E"/>
    <w:rsid w:val="0015623F"/>
    <w:rsid w:val="001D35E8"/>
    <w:rsid w:val="001E2300"/>
    <w:rsid w:val="001E683D"/>
    <w:rsid w:val="002058A9"/>
    <w:rsid w:val="0021612D"/>
    <w:rsid w:val="0023048F"/>
    <w:rsid w:val="00280A3F"/>
    <w:rsid w:val="002908C8"/>
    <w:rsid w:val="00296BD4"/>
    <w:rsid w:val="00296F20"/>
    <w:rsid w:val="002A03AB"/>
    <w:rsid w:val="002F02BA"/>
    <w:rsid w:val="00303FEC"/>
    <w:rsid w:val="00346DAD"/>
    <w:rsid w:val="00351570"/>
    <w:rsid w:val="003829FF"/>
    <w:rsid w:val="00392D61"/>
    <w:rsid w:val="003E2F46"/>
    <w:rsid w:val="003F0039"/>
    <w:rsid w:val="00425A17"/>
    <w:rsid w:val="004500BB"/>
    <w:rsid w:val="00482872"/>
    <w:rsid w:val="004C1B69"/>
    <w:rsid w:val="004C3A6F"/>
    <w:rsid w:val="00504561"/>
    <w:rsid w:val="00511208"/>
    <w:rsid w:val="005B7922"/>
    <w:rsid w:val="005C7F8C"/>
    <w:rsid w:val="0061616D"/>
    <w:rsid w:val="00687B30"/>
    <w:rsid w:val="006B2D7D"/>
    <w:rsid w:val="006F1D3D"/>
    <w:rsid w:val="006F7D60"/>
    <w:rsid w:val="00727152"/>
    <w:rsid w:val="007668C4"/>
    <w:rsid w:val="007714E1"/>
    <w:rsid w:val="00771CFE"/>
    <w:rsid w:val="007A27C6"/>
    <w:rsid w:val="007B2477"/>
    <w:rsid w:val="00803F9A"/>
    <w:rsid w:val="00866B70"/>
    <w:rsid w:val="008911F7"/>
    <w:rsid w:val="008C0BC6"/>
    <w:rsid w:val="008F7B8A"/>
    <w:rsid w:val="0095681B"/>
    <w:rsid w:val="00974112"/>
    <w:rsid w:val="009B34F2"/>
    <w:rsid w:val="009B7FBC"/>
    <w:rsid w:val="009C7358"/>
    <w:rsid w:val="009D0580"/>
    <w:rsid w:val="00A460F4"/>
    <w:rsid w:val="00A71D4C"/>
    <w:rsid w:val="00A7307F"/>
    <w:rsid w:val="00A80D33"/>
    <w:rsid w:val="00AA5A3B"/>
    <w:rsid w:val="00AD1CE3"/>
    <w:rsid w:val="00AD3F78"/>
    <w:rsid w:val="00AF1451"/>
    <w:rsid w:val="00AF36A6"/>
    <w:rsid w:val="00B02C4A"/>
    <w:rsid w:val="00BB672E"/>
    <w:rsid w:val="00BD6687"/>
    <w:rsid w:val="00BE765F"/>
    <w:rsid w:val="00BF6A25"/>
    <w:rsid w:val="00C16093"/>
    <w:rsid w:val="00C623F6"/>
    <w:rsid w:val="00C762BA"/>
    <w:rsid w:val="00C80B9D"/>
    <w:rsid w:val="00CC7530"/>
    <w:rsid w:val="00CE209D"/>
    <w:rsid w:val="00CF6281"/>
    <w:rsid w:val="00D02BB6"/>
    <w:rsid w:val="00D75350"/>
    <w:rsid w:val="00DB151A"/>
    <w:rsid w:val="00DD1D35"/>
    <w:rsid w:val="00DF1479"/>
    <w:rsid w:val="00DF6310"/>
    <w:rsid w:val="00E12F04"/>
    <w:rsid w:val="00E538F7"/>
    <w:rsid w:val="00E6258F"/>
    <w:rsid w:val="00E737AD"/>
    <w:rsid w:val="00E94806"/>
    <w:rsid w:val="00EA6F22"/>
    <w:rsid w:val="00ED2D66"/>
    <w:rsid w:val="00EF6209"/>
    <w:rsid w:val="00F76D93"/>
    <w:rsid w:val="00F87F03"/>
    <w:rsid w:val="00F94ED4"/>
    <w:rsid w:val="00F97B92"/>
    <w:rsid w:val="00FC3FC5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0AC1B62-C1EF-46EF-8A51-C61F2AA9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D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94E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4E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94ED4"/>
    <w:rPr>
      <w:rFonts w:cs="Times New Roman"/>
    </w:rPr>
  </w:style>
  <w:style w:type="character" w:styleId="a7">
    <w:name w:val="page number"/>
    <w:basedOn w:val="a0"/>
    <w:uiPriority w:val="99"/>
    <w:semiHidden/>
    <w:rsid w:val="00F94ED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631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DF6310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382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Company>證交所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   目_</dc:title>
  <dc:subject/>
  <dc:creator>TSE1</dc:creator>
  <cp:keywords/>
  <dc:description/>
  <cp:lastModifiedBy>陳品齊</cp:lastModifiedBy>
  <cp:revision>2</cp:revision>
  <cp:lastPrinted>2014-10-03T08:06:00Z</cp:lastPrinted>
  <dcterms:created xsi:type="dcterms:W3CDTF">2019-07-08T06:00:00Z</dcterms:created>
  <dcterms:modified xsi:type="dcterms:W3CDTF">2019-07-08T06:00:00Z</dcterms:modified>
</cp:coreProperties>
</file>