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A5" w:rsidRPr="00687B30" w:rsidRDefault="00031CA5">
      <w:pPr>
        <w:spacing w:line="500" w:lineRule="exact"/>
        <w:jc w:val="center"/>
        <w:rPr>
          <w:rFonts w:ascii="新細明體"/>
          <w:spacing w:val="24"/>
        </w:rPr>
      </w:pPr>
      <w:bookmarkStart w:id="0" w:name="_GoBack"/>
      <w:bookmarkEnd w:id="0"/>
      <w:r w:rsidRPr="00687B30">
        <w:rPr>
          <w:rFonts w:ascii="新細明體" w:hint="eastAsia"/>
          <w:spacing w:val="24"/>
        </w:rPr>
        <w:t xml:space="preserve">　　　　　　證券股份有限公司</w:t>
      </w:r>
    </w:p>
    <w:p w:rsidR="00031CA5" w:rsidRPr="00687B30" w:rsidRDefault="00030532">
      <w:pPr>
        <w:spacing w:line="400" w:lineRule="exact"/>
        <w:jc w:val="center"/>
        <w:rPr>
          <w:rFonts w:ascii="新細明體"/>
          <w:spacing w:val="24"/>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25400</wp:posOffset>
                </wp:positionV>
                <wp:extent cx="2172335" cy="343535"/>
                <wp:effectExtent l="19050" t="19050" r="37465" b="374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1CA5" w:rsidRDefault="003829FF">
                            <w:r>
                              <w:rPr>
                                <w:rFonts w:hint="eastAsia"/>
                              </w:rPr>
                              <w:t>作業週期：每月</w:t>
                            </w:r>
                            <w:r w:rsidR="00031CA5">
                              <w:rPr>
                                <w:rFonts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pt;width:171.0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" o:allowincell="f" filled="f" strokecolor="white" strokeweight="4pt">
                <v:textbox inset="1pt,1pt,1pt,1pt">
                  <w:txbxContent>
                    <w:p w:rsidR="00031CA5" w:rsidRDefault="003829FF">
                      <w:r>
                        <w:rPr>
                          <w:rFonts w:hint="eastAsia"/>
                        </w:rPr>
                        <w:t>作業週期：每月</w:t>
                      </w:r>
                      <w:r w:rsidR="00031CA5">
                        <w:rPr>
                          <w:rFonts w:hint="eastAsia"/>
                        </w:rPr>
                        <w:t>至少查核乙次</w:t>
                      </w:r>
                    </w:p>
                  </w:txbxContent>
                </v:textbox>
              </v:rect>
            </w:pict>
          </mc:Fallback>
        </mc:AlternateContent>
      </w:r>
      <w:r w:rsidR="00031CA5" w:rsidRPr="00ED2D66">
        <w:rPr>
          <w:rFonts w:ascii="新細明體" w:hint="eastAsia"/>
        </w:rPr>
        <w:t>業務及收入循環：</w:t>
      </w:r>
      <w:r w:rsidR="00AA5A3B">
        <w:rPr>
          <w:rFonts w:ascii="新細明體" w:hint="eastAsia"/>
        </w:rPr>
        <w:t>櫃檯(其</w:t>
      </w:r>
      <w:r w:rsidR="00AA5A3B">
        <w:rPr>
          <w:rFonts w:ascii="新細明體"/>
        </w:rPr>
        <w:t>他</w:t>
      </w:r>
      <w:r w:rsidR="00AA5A3B">
        <w:rPr>
          <w:rFonts w:ascii="新細明體" w:hint="eastAsia"/>
        </w:rPr>
        <w:t>)</w:t>
      </w:r>
    </w:p>
    <w:p w:rsidR="00031CA5" w:rsidRPr="00687B30" w:rsidRDefault="003829FF">
      <w:pPr>
        <w:spacing w:line="300" w:lineRule="auto"/>
        <w:jc w:val="center"/>
        <w:rPr>
          <w:rFonts w:ascii="標楷體" w:eastAsia="標楷體"/>
          <w:spacing w:val="30"/>
        </w:rPr>
      </w:pPr>
      <w:r>
        <w:rPr>
          <w:rFonts w:ascii="新細明體" w:hint="eastAsia"/>
        </w:rPr>
        <w:t>經</w:t>
      </w:r>
      <w:r>
        <w:rPr>
          <w:rFonts w:ascii="新細明體"/>
        </w:rPr>
        <w:t xml:space="preserve"> </w:t>
      </w:r>
      <w:r>
        <w:rPr>
          <w:rFonts w:ascii="新細明體" w:hint="eastAsia"/>
        </w:rPr>
        <w:t>營</w:t>
      </w:r>
      <w:r>
        <w:rPr>
          <w:rFonts w:ascii="新細明體"/>
        </w:rPr>
        <w:t xml:space="preserve"> </w:t>
      </w:r>
      <w:r>
        <w:rPr>
          <w:rFonts w:ascii="新細明體" w:hint="eastAsia"/>
        </w:rPr>
        <w:t>股</w:t>
      </w:r>
      <w:r>
        <w:rPr>
          <w:rFonts w:ascii="新細明體"/>
        </w:rPr>
        <w:t xml:space="preserve"> </w:t>
      </w:r>
      <w:r>
        <w:rPr>
          <w:rFonts w:ascii="新細明體" w:hint="eastAsia"/>
        </w:rPr>
        <w:t>權</w:t>
      </w:r>
      <w:r>
        <w:rPr>
          <w:rFonts w:ascii="新細明體"/>
        </w:rPr>
        <w:t xml:space="preserve"> </w:t>
      </w:r>
      <w:r>
        <w:rPr>
          <w:rFonts w:ascii="新細明體" w:hint="eastAsia"/>
        </w:rPr>
        <w:t>性</w:t>
      </w:r>
      <w:r>
        <w:rPr>
          <w:rFonts w:ascii="新細明體"/>
        </w:rPr>
        <w:t xml:space="preserve"> </w:t>
      </w:r>
      <w:r>
        <w:rPr>
          <w:rFonts w:ascii="新細明體" w:hint="eastAsia"/>
        </w:rPr>
        <w:t>質</w:t>
      </w:r>
      <w:r>
        <w:rPr>
          <w:rFonts w:ascii="新細明體"/>
        </w:rPr>
        <w:t xml:space="preserve"> </w:t>
      </w:r>
      <w:r>
        <w:rPr>
          <w:rFonts w:ascii="新細明體" w:hint="eastAsia"/>
        </w:rPr>
        <w:t>群</w:t>
      </w:r>
      <w:r>
        <w:rPr>
          <w:rFonts w:ascii="新細明體"/>
        </w:rPr>
        <w:t xml:space="preserve"> </w:t>
      </w:r>
      <w:r>
        <w:rPr>
          <w:rFonts w:ascii="新細明體" w:hint="eastAsia"/>
        </w:rPr>
        <w:t>眾</w:t>
      </w:r>
      <w:r>
        <w:rPr>
          <w:rFonts w:ascii="新細明體"/>
        </w:rPr>
        <w:t xml:space="preserve"> </w:t>
      </w:r>
      <w:r>
        <w:rPr>
          <w:rFonts w:ascii="新細明體" w:hint="eastAsia"/>
        </w:rPr>
        <w:t>募</w:t>
      </w:r>
      <w:r>
        <w:rPr>
          <w:rFonts w:ascii="新細明體"/>
        </w:rPr>
        <w:t xml:space="preserve"> </w:t>
      </w:r>
      <w:r>
        <w:rPr>
          <w:rFonts w:ascii="新細明體" w:hint="eastAsia"/>
        </w:rPr>
        <w:t>資</w:t>
      </w:r>
      <w:r w:rsidR="00511208" w:rsidRPr="00687B30">
        <w:rPr>
          <w:rFonts w:ascii="新細明體"/>
        </w:rPr>
        <w:t xml:space="preserve"> </w:t>
      </w:r>
      <w:r>
        <w:rPr>
          <w:rFonts w:ascii="新細明體" w:hint="eastAsia"/>
        </w:rPr>
        <w:t>業</w:t>
      </w:r>
      <w:r>
        <w:rPr>
          <w:rFonts w:ascii="新細明體"/>
        </w:rPr>
        <w:t xml:space="preserve"> </w:t>
      </w:r>
      <w:r>
        <w:rPr>
          <w:rFonts w:ascii="新細明體" w:hint="eastAsia"/>
        </w:rPr>
        <w:t>務</w:t>
      </w:r>
      <w:r w:rsidR="00031CA5" w:rsidRPr="00687B30">
        <w:rPr>
          <w:rFonts w:ascii="新細明體"/>
        </w:rPr>
        <w:t xml:space="preserve"> </w:t>
      </w:r>
      <w:r w:rsidR="00031CA5" w:rsidRPr="00687B30">
        <w:rPr>
          <w:rFonts w:ascii="新細明體" w:hint="eastAsia"/>
        </w:rPr>
        <w:t>查</w:t>
      </w:r>
      <w:r w:rsidR="00031CA5" w:rsidRPr="00687B30">
        <w:rPr>
          <w:rFonts w:ascii="新細明體"/>
        </w:rPr>
        <w:t xml:space="preserve"> </w:t>
      </w:r>
      <w:r w:rsidR="00031CA5" w:rsidRPr="00687B30">
        <w:rPr>
          <w:rFonts w:ascii="新細明體" w:hint="eastAsia"/>
        </w:rPr>
        <w:t>核</w:t>
      </w:r>
      <w:r w:rsidR="00031CA5" w:rsidRPr="00687B30">
        <w:rPr>
          <w:rFonts w:ascii="新細明體"/>
        </w:rPr>
        <w:t xml:space="preserve"> </w:t>
      </w:r>
      <w:r w:rsidR="00031CA5" w:rsidRPr="00687B30">
        <w:rPr>
          <w:rFonts w:ascii="新細明體" w:hint="eastAsia"/>
        </w:rPr>
        <w:t>明</w:t>
      </w:r>
      <w:r w:rsidR="00031CA5" w:rsidRPr="00687B30">
        <w:rPr>
          <w:rFonts w:ascii="新細明體"/>
        </w:rPr>
        <w:t xml:space="preserve"> </w:t>
      </w:r>
      <w:r w:rsidR="00031CA5" w:rsidRPr="00687B30">
        <w:rPr>
          <w:rFonts w:ascii="新細明體" w:hint="eastAsia"/>
        </w:rPr>
        <w:t>細</w:t>
      </w:r>
      <w:r w:rsidR="00031CA5" w:rsidRPr="00687B30">
        <w:rPr>
          <w:rFonts w:ascii="新細明體"/>
        </w:rPr>
        <w:t xml:space="preserve"> </w:t>
      </w:r>
      <w:r w:rsidR="00031CA5" w:rsidRPr="00687B30">
        <w:rPr>
          <w:rFonts w:ascii="新細明體" w:hint="eastAsia"/>
        </w:rPr>
        <w:t>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031CA5" w:rsidRPr="00687B30">
        <w:trPr>
          <w:cantSplit/>
          <w:trHeight w:hRule="exact" w:val="400"/>
        </w:trPr>
        <w:tc>
          <w:tcPr>
            <w:tcW w:w="1985" w:type="dxa"/>
            <w:vMerge w:val="restart"/>
            <w:tcBorders>
              <w:top w:val="single" w:sz="12" w:space="0" w:color="auto"/>
              <w:left w:val="single" w:sz="12" w:space="0" w:color="auto"/>
            </w:tcBorders>
            <w:vAlign w:val="center"/>
          </w:tcPr>
          <w:p w:rsidR="00031CA5" w:rsidRPr="00687B30" w:rsidRDefault="00031CA5">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7938" w:type="dxa"/>
            <w:vMerge w:val="restart"/>
            <w:tcBorders>
              <w:top w:val="single" w:sz="12" w:space="0" w:color="auto"/>
            </w:tcBorders>
            <w:vAlign w:val="center"/>
          </w:tcPr>
          <w:p w:rsidR="00031CA5" w:rsidRPr="00974112" w:rsidRDefault="00031CA5">
            <w:pPr>
              <w:jc w:val="center"/>
              <w:rPr>
                <w:rFonts w:asciiTheme="minorEastAsia" w:eastAsiaTheme="minorEastAsia" w:hAnsiTheme="minorEastAsia"/>
              </w:rPr>
            </w:pPr>
            <w:r w:rsidRPr="00974112">
              <w:rPr>
                <w:rFonts w:asciiTheme="minorEastAsia" w:eastAsiaTheme="minorEastAsia" w:hAnsiTheme="minorEastAsia" w:hint="eastAsia"/>
              </w:rPr>
              <w:t>查</w:t>
            </w:r>
            <w:r w:rsidRPr="00974112">
              <w:rPr>
                <w:rFonts w:asciiTheme="minorEastAsia" w:eastAsiaTheme="minorEastAsia" w:hAnsiTheme="minorEastAsia"/>
              </w:rPr>
              <w:t xml:space="preserve">          </w:t>
            </w:r>
            <w:r w:rsidRPr="00974112">
              <w:rPr>
                <w:rFonts w:asciiTheme="minorEastAsia" w:eastAsiaTheme="minorEastAsia" w:hAnsiTheme="minorEastAsia" w:hint="eastAsia"/>
              </w:rPr>
              <w:t>核</w:t>
            </w:r>
            <w:r w:rsidRPr="00974112">
              <w:rPr>
                <w:rFonts w:asciiTheme="minorEastAsia" w:eastAsiaTheme="minorEastAsia" w:hAnsiTheme="minorEastAsia"/>
              </w:rPr>
              <w:t xml:space="preserve">          </w:t>
            </w:r>
            <w:r w:rsidRPr="00974112">
              <w:rPr>
                <w:rFonts w:asciiTheme="minorEastAsia" w:eastAsiaTheme="minorEastAsia" w:hAnsiTheme="minorEastAsia" w:hint="eastAsia"/>
              </w:rPr>
              <w:t>程</w:t>
            </w:r>
            <w:r w:rsidRPr="00974112">
              <w:rPr>
                <w:rFonts w:asciiTheme="minorEastAsia" w:eastAsiaTheme="minorEastAsia" w:hAnsiTheme="minorEastAsia"/>
              </w:rPr>
              <w:t xml:space="preserve">          </w:t>
            </w:r>
            <w:r w:rsidRPr="00974112">
              <w:rPr>
                <w:rFonts w:asciiTheme="minorEastAsia" w:eastAsiaTheme="minorEastAsia" w:hAnsiTheme="minorEastAsia" w:hint="eastAsia"/>
              </w:rPr>
              <w:t>序</w:t>
            </w:r>
          </w:p>
        </w:tc>
        <w:tc>
          <w:tcPr>
            <w:tcW w:w="2268" w:type="dxa"/>
            <w:gridSpan w:val="3"/>
            <w:tcBorders>
              <w:top w:val="single" w:sz="12" w:space="0" w:color="auto"/>
            </w:tcBorders>
            <w:vAlign w:val="center"/>
          </w:tcPr>
          <w:p w:rsidR="00031CA5" w:rsidRPr="00687B30" w:rsidRDefault="00031CA5">
            <w:pPr>
              <w:jc w:val="center"/>
              <w:rPr>
                <w:rFonts w:ascii="新細明體"/>
                <w:spacing w:val="60"/>
              </w:rPr>
            </w:pPr>
            <w:r w:rsidRPr="00687B30">
              <w:rPr>
                <w:rFonts w:ascii="新細明體" w:hint="eastAsia"/>
                <w:spacing w:val="60"/>
                <w:sz w:val="22"/>
              </w:rPr>
              <w:t>查核結果</w:t>
            </w:r>
          </w:p>
        </w:tc>
        <w:tc>
          <w:tcPr>
            <w:tcW w:w="1985" w:type="dxa"/>
            <w:vMerge w:val="restart"/>
            <w:tcBorders>
              <w:top w:val="single" w:sz="12" w:space="0" w:color="auto"/>
              <w:right w:val="single" w:sz="12" w:space="0" w:color="auto"/>
            </w:tcBorders>
            <w:vAlign w:val="center"/>
          </w:tcPr>
          <w:p w:rsidR="00031CA5" w:rsidRPr="00687B30" w:rsidRDefault="00031CA5">
            <w:pPr>
              <w:jc w:val="center"/>
              <w:rPr>
                <w:rFonts w:ascii="新細明體"/>
              </w:rPr>
            </w:pPr>
            <w:r w:rsidRPr="00687B30">
              <w:rPr>
                <w:rFonts w:ascii="新細明體" w:hint="eastAsia"/>
                <w:spacing w:val="60"/>
              </w:rPr>
              <w:t>底稿索引</w:t>
            </w:r>
          </w:p>
        </w:tc>
      </w:tr>
      <w:tr w:rsidR="00031CA5" w:rsidRPr="00687B30">
        <w:trPr>
          <w:cantSplit/>
          <w:trHeight w:hRule="exact" w:val="400"/>
        </w:trPr>
        <w:tc>
          <w:tcPr>
            <w:tcW w:w="1985" w:type="dxa"/>
            <w:vMerge/>
            <w:tcBorders>
              <w:left w:val="single" w:sz="12" w:space="0" w:color="auto"/>
            </w:tcBorders>
          </w:tcPr>
          <w:p w:rsidR="00031CA5" w:rsidRPr="00687B30" w:rsidRDefault="00031CA5">
            <w:pPr>
              <w:rPr>
                <w:rFonts w:ascii="新細明體"/>
              </w:rPr>
            </w:pPr>
          </w:p>
        </w:tc>
        <w:tc>
          <w:tcPr>
            <w:tcW w:w="7938" w:type="dxa"/>
            <w:vMerge/>
          </w:tcPr>
          <w:p w:rsidR="00031CA5" w:rsidRPr="00687B30" w:rsidRDefault="00031CA5">
            <w:pPr>
              <w:rPr>
                <w:rFonts w:ascii="標楷體" w:eastAsia="標楷體"/>
              </w:rPr>
            </w:pPr>
          </w:p>
        </w:tc>
        <w:tc>
          <w:tcPr>
            <w:tcW w:w="567" w:type="dxa"/>
          </w:tcPr>
          <w:p w:rsidR="00031CA5" w:rsidRPr="00687B30" w:rsidRDefault="00031CA5">
            <w:pPr>
              <w:jc w:val="center"/>
              <w:rPr>
                <w:rFonts w:ascii="新細明體"/>
                <w:sz w:val="22"/>
              </w:rPr>
            </w:pPr>
            <w:r w:rsidRPr="00687B30">
              <w:rPr>
                <w:rFonts w:ascii="新細明體" w:hint="eastAsia"/>
                <w:sz w:val="22"/>
              </w:rPr>
              <w:t>是</w:t>
            </w:r>
          </w:p>
        </w:tc>
        <w:tc>
          <w:tcPr>
            <w:tcW w:w="567" w:type="dxa"/>
          </w:tcPr>
          <w:p w:rsidR="00031CA5" w:rsidRPr="00687B30" w:rsidRDefault="00031CA5">
            <w:pPr>
              <w:jc w:val="center"/>
              <w:rPr>
                <w:rFonts w:ascii="新細明體"/>
                <w:sz w:val="22"/>
              </w:rPr>
            </w:pPr>
            <w:r w:rsidRPr="00687B30">
              <w:rPr>
                <w:rFonts w:ascii="新細明體" w:hint="eastAsia"/>
                <w:sz w:val="22"/>
              </w:rPr>
              <w:t>否</w:t>
            </w:r>
          </w:p>
        </w:tc>
        <w:tc>
          <w:tcPr>
            <w:tcW w:w="1134" w:type="dxa"/>
          </w:tcPr>
          <w:p w:rsidR="00031CA5" w:rsidRPr="00687B30" w:rsidRDefault="00031CA5">
            <w:pPr>
              <w:jc w:val="center"/>
              <w:rPr>
                <w:rFonts w:ascii="新細明體"/>
                <w:sz w:val="22"/>
              </w:rPr>
            </w:pPr>
            <w:r w:rsidRPr="00687B30">
              <w:rPr>
                <w:rFonts w:ascii="新細明體" w:hint="eastAsia"/>
                <w:sz w:val="22"/>
              </w:rPr>
              <w:t>不適用</w:t>
            </w:r>
          </w:p>
        </w:tc>
        <w:tc>
          <w:tcPr>
            <w:tcW w:w="1985" w:type="dxa"/>
            <w:vMerge/>
            <w:tcBorders>
              <w:right w:val="single" w:sz="12" w:space="0" w:color="auto"/>
            </w:tcBorders>
          </w:tcPr>
          <w:p w:rsidR="00031CA5" w:rsidRPr="00687B30" w:rsidRDefault="00031CA5">
            <w:pPr>
              <w:rPr>
                <w:rFonts w:ascii="新細明體"/>
              </w:rPr>
            </w:pPr>
          </w:p>
        </w:tc>
      </w:tr>
      <w:tr w:rsidR="00031CA5" w:rsidRPr="00687B30" w:rsidTr="008F7B8A">
        <w:trPr>
          <w:trHeight w:hRule="exact" w:val="6148"/>
        </w:trPr>
        <w:tc>
          <w:tcPr>
            <w:tcW w:w="1985" w:type="dxa"/>
            <w:tcBorders>
              <w:left w:val="single" w:sz="12" w:space="0" w:color="auto"/>
            </w:tcBorders>
          </w:tcPr>
          <w:p w:rsidR="00031CA5" w:rsidRPr="00687B30" w:rsidRDefault="00CE209D">
            <w:pPr>
              <w:spacing w:line="240" w:lineRule="atLeast"/>
              <w:jc w:val="both"/>
              <w:rPr>
                <w:rFonts w:ascii="新細明體"/>
              </w:rPr>
            </w:pPr>
            <w:r>
              <w:rPr>
                <w:rFonts w:ascii="新細明體" w:hAnsi="新細明體" w:hint="eastAsia"/>
                <w:color w:val="000000"/>
                <w:spacing w:val="10"/>
              </w:rPr>
              <w:t>經營股權性質群眾募資-財</w:t>
            </w:r>
            <w:r>
              <w:rPr>
                <w:rFonts w:ascii="新細明體" w:hAnsi="新細明體"/>
                <w:color w:val="000000"/>
                <w:spacing w:val="10"/>
              </w:rPr>
              <w:t>務</w:t>
            </w:r>
            <w:r w:rsidR="007714E1">
              <w:rPr>
                <w:rFonts w:ascii="新細明體" w:hAnsi="新細明體" w:hint="eastAsia"/>
                <w:color w:val="000000"/>
                <w:spacing w:val="10"/>
              </w:rPr>
              <w:t>管</w:t>
            </w:r>
            <w:r w:rsidR="007714E1">
              <w:rPr>
                <w:rFonts w:ascii="新細明體" w:hAnsi="新細明體"/>
                <w:color w:val="000000"/>
                <w:spacing w:val="10"/>
              </w:rPr>
              <w:t>理</w:t>
            </w:r>
            <w:r>
              <w:rPr>
                <w:rFonts w:ascii="新細明體" w:hAnsi="新細明體"/>
                <w:color w:val="000000"/>
                <w:spacing w:val="10"/>
              </w:rPr>
              <w:t>查核</w:t>
            </w:r>
          </w:p>
        </w:tc>
        <w:tc>
          <w:tcPr>
            <w:tcW w:w="7938" w:type="dxa"/>
          </w:tcPr>
          <w:p w:rsidR="008B366E" w:rsidRPr="008B366E" w:rsidRDefault="008B366E" w:rsidP="00056C0F">
            <w:pPr>
              <w:pStyle w:val="aa"/>
              <w:numPr>
                <w:ilvl w:val="0"/>
                <w:numId w:val="10"/>
              </w:numPr>
              <w:adjustRightInd/>
              <w:snapToGrid w:val="0"/>
              <w:spacing w:line="400" w:lineRule="exact"/>
              <w:ind w:leftChars="0" w:left="850" w:hanging="567"/>
              <w:jc w:val="both"/>
              <w:textAlignment w:val="auto"/>
              <w:rPr>
                <w:rFonts w:ascii="新細明體" w:hAnsi="新細明體"/>
                <w:color w:val="FF0000"/>
                <w:u w:val="single"/>
              </w:rPr>
            </w:pPr>
            <w:r w:rsidRPr="008B366E">
              <w:rPr>
                <w:rFonts w:ascii="新細明體" w:hAnsi="新細明體" w:hint="eastAsia"/>
                <w:color w:val="FF0000"/>
                <w:u w:val="single"/>
              </w:rPr>
              <w:t>公司若為兼營股權性質群眾募資業務者，以自有資金投資於其募資平台辦理股權募資之公司股票</w:t>
            </w:r>
            <w:r w:rsidRPr="001D7108">
              <w:rPr>
                <w:rFonts w:ascii="新細明體" w:hAnsi="新細明體" w:hint="eastAsia"/>
                <w:color w:val="FF0000"/>
                <w:u w:val="single"/>
              </w:rPr>
              <w:t>，是否符合下列規定</w:t>
            </w:r>
            <w:r w:rsidRPr="001D7108">
              <w:rPr>
                <w:rFonts w:ascii="新細明體" w:hAnsi="新細明體"/>
                <w:color w:val="FF0000"/>
                <w:u w:val="single"/>
              </w:rPr>
              <w:t>:</w:t>
            </w:r>
            <w:r w:rsidRPr="001D7108">
              <w:rPr>
                <w:rFonts w:ascii="新細明體" w:hAnsi="新細明體"/>
                <w:color w:val="FF0000"/>
                <w:u w:val="single"/>
              </w:rPr>
              <w:br/>
              <w:t>1.</w:t>
            </w:r>
            <w:r w:rsidRPr="001D7108">
              <w:rPr>
                <w:rFonts w:ascii="新細明體" w:hAnsi="新細明體" w:hint="eastAsia"/>
                <w:color w:val="FF0000"/>
                <w:u w:val="single"/>
              </w:rPr>
              <w:t>持有任一募資公司股份之總額未超過該募資公司股份總額之百分之十。</w:t>
            </w:r>
            <w:r w:rsidRPr="001D7108">
              <w:rPr>
                <w:rFonts w:ascii="新細明體" w:hAnsi="新細明體"/>
                <w:color w:val="FF0000"/>
                <w:u w:val="single"/>
              </w:rPr>
              <w:br/>
              <w:t>2.</w:t>
            </w:r>
            <w:r w:rsidRPr="001D7108">
              <w:rPr>
                <w:rFonts w:ascii="新細明體" w:hAnsi="新細明體" w:hint="eastAsia"/>
                <w:color w:val="FF0000"/>
                <w:u w:val="single"/>
              </w:rPr>
              <w:t>持有任一募資公司股份之成本總額，未超過公司淨值之百分之二十。</w:t>
            </w:r>
            <w:r w:rsidRPr="001D7108">
              <w:rPr>
                <w:rFonts w:ascii="新細明體" w:hAnsi="新細明體"/>
                <w:color w:val="FF0000"/>
                <w:u w:val="single"/>
              </w:rPr>
              <w:br/>
              <w:t>3.</w:t>
            </w:r>
            <w:r w:rsidRPr="001D7108">
              <w:rPr>
                <w:rFonts w:ascii="新細明體" w:hAnsi="新細明體" w:hint="eastAsia"/>
                <w:color w:val="FF0000"/>
                <w:u w:val="single"/>
              </w:rPr>
              <w:t>前揭股票轉讓之對象</w:t>
            </w:r>
            <w:r w:rsidRPr="008B366E">
              <w:rPr>
                <w:rFonts w:ascii="新細明體" w:hAnsi="新細明體" w:hint="eastAsia"/>
                <w:color w:val="FF0000"/>
                <w:u w:val="single"/>
              </w:rPr>
              <w:t>及投資有價證券之原始取得成本總額</w:t>
            </w:r>
            <w:r w:rsidRPr="001D7108">
              <w:rPr>
                <w:rFonts w:ascii="新細明體" w:hAnsi="新細明體" w:hint="eastAsia"/>
                <w:color w:val="FF0000"/>
                <w:u w:val="single"/>
              </w:rPr>
              <w:t>符合</w:t>
            </w:r>
            <w:r w:rsidRPr="008B366E">
              <w:rPr>
                <w:rFonts w:ascii="新細明體" w:hAnsi="新細明體" w:hint="eastAsia"/>
                <w:color w:val="FF0000"/>
                <w:u w:val="single"/>
              </w:rPr>
              <w:t>105年1月27日金管證券字第1050001410號令之規定。</w:t>
            </w:r>
          </w:p>
          <w:p w:rsidR="00056C0F" w:rsidRDefault="00056C0F" w:rsidP="00056C0F">
            <w:pPr>
              <w:pStyle w:val="aa"/>
              <w:numPr>
                <w:ilvl w:val="0"/>
                <w:numId w:val="10"/>
              </w:numPr>
              <w:adjustRightInd/>
              <w:snapToGrid w:val="0"/>
              <w:spacing w:line="400" w:lineRule="exact"/>
              <w:ind w:leftChars="0" w:left="850" w:hanging="567"/>
              <w:jc w:val="both"/>
              <w:textAlignment w:val="auto"/>
              <w:rPr>
                <w:rFonts w:ascii="新細明體" w:hAnsi="新細明體"/>
                <w:color w:val="000000"/>
                <w:spacing w:val="10"/>
              </w:rPr>
            </w:pPr>
            <w:r w:rsidRPr="00602AD2">
              <w:rPr>
                <w:rFonts w:ascii="新細明體" w:hAnsi="新細明體" w:hint="eastAsia"/>
                <w:color w:val="000000"/>
                <w:spacing w:val="10"/>
              </w:rPr>
              <w:t>公司除由金融機構兼營者另依有關法令規定外，非經主管機關核准，</w:t>
            </w:r>
            <w:r>
              <w:rPr>
                <w:rFonts w:ascii="新細明體" w:hAnsi="新細明體" w:hint="eastAsia"/>
                <w:color w:val="000000"/>
                <w:spacing w:val="10"/>
              </w:rPr>
              <w:t>是</w:t>
            </w:r>
            <w:r>
              <w:rPr>
                <w:rFonts w:ascii="新細明體" w:hAnsi="新細明體"/>
                <w:color w:val="000000"/>
                <w:spacing w:val="10"/>
              </w:rPr>
              <w:t>否</w:t>
            </w:r>
            <w:r>
              <w:rPr>
                <w:rFonts w:ascii="新細明體" w:hAnsi="新細明體" w:hint="eastAsia"/>
                <w:color w:val="000000"/>
                <w:spacing w:val="10"/>
              </w:rPr>
              <w:t>未</w:t>
            </w:r>
            <w:r w:rsidRPr="00602AD2">
              <w:rPr>
                <w:rFonts w:ascii="新細明體" w:hAnsi="新細明體" w:hint="eastAsia"/>
                <w:color w:val="000000"/>
                <w:spacing w:val="10"/>
              </w:rPr>
              <w:t>為任何保證人、票據轉讓之背書或提供財產供他人設定擔保。</w:t>
            </w:r>
          </w:p>
          <w:p w:rsidR="00CE209D" w:rsidRDefault="00CE209D" w:rsidP="00A270DC">
            <w:pPr>
              <w:pStyle w:val="aa"/>
              <w:numPr>
                <w:ilvl w:val="0"/>
                <w:numId w:val="10"/>
              </w:numPr>
              <w:adjustRightInd/>
              <w:snapToGrid w:val="0"/>
              <w:spacing w:line="400" w:lineRule="exact"/>
              <w:ind w:leftChars="0" w:left="850" w:hanging="567"/>
              <w:jc w:val="both"/>
              <w:textAlignment w:val="auto"/>
              <w:rPr>
                <w:rFonts w:ascii="新細明體" w:hAnsi="新細明體"/>
                <w:color w:val="000000"/>
                <w:spacing w:val="10"/>
              </w:rPr>
            </w:pPr>
            <w:r w:rsidRPr="00602AD2">
              <w:rPr>
                <w:rFonts w:ascii="新細明體" w:hAnsi="新細明體" w:hint="eastAsia"/>
                <w:color w:val="000000"/>
                <w:spacing w:val="10"/>
              </w:rPr>
              <w:t>公司持有營業用不動產及設備總額及非營業用不動產總額合計</w:t>
            </w:r>
            <w:r>
              <w:rPr>
                <w:rFonts w:ascii="新細明體" w:hAnsi="新細明體" w:hint="eastAsia"/>
                <w:color w:val="000000"/>
                <w:spacing w:val="10"/>
              </w:rPr>
              <w:t>是</w:t>
            </w:r>
            <w:r>
              <w:rPr>
                <w:rFonts w:ascii="新細明體" w:hAnsi="新細明體"/>
                <w:color w:val="000000"/>
                <w:spacing w:val="10"/>
              </w:rPr>
              <w:t>否未</w:t>
            </w:r>
            <w:r w:rsidRPr="00602AD2">
              <w:rPr>
                <w:rFonts w:ascii="新細明體" w:hAnsi="新細明體" w:hint="eastAsia"/>
                <w:color w:val="000000"/>
                <w:spacing w:val="10"/>
              </w:rPr>
              <w:t>超過其資產總額之百分之六十。</w:t>
            </w:r>
          </w:p>
          <w:p w:rsidR="00CE209D" w:rsidRPr="00602AD2" w:rsidRDefault="00CE209D" w:rsidP="00CE209D">
            <w:pPr>
              <w:pStyle w:val="aa"/>
              <w:numPr>
                <w:ilvl w:val="0"/>
                <w:numId w:val="10"/>
              </w:numPr>
              <w:adjustRightInd/>
              <w:snapToGrid w:val="0"/>
              <w:spacing w:line="400" w:lineRule="exact"/>
              <w:ind w:leftChars="0" w:left="822" w:hanging="567"/>
              <w:jc w:val="both"/>
              <w:textAlignment w:val="auto"/>
              <w:rPr>
                <w:rFonts w:ascii="新細明體" w:hAnsi="新細明體"/>
                <w:color w:val="000000"/>
                <w:spacing w:val="10"/>
              </w:rPr>
            </w:pPr>
            <w:r>
              <w:rPr>
                <w:rFonts w:ascii="新細明體" w:hAnsi="新細明體" w:hint="eastAsia"/>
                <w:color w:val="000000"/>
                <w:spacing w:val="10"/>
              </w:rPr>
              <w:t>公司</w:t>
            </w:r>
            <w:r w:rsidRPr="00602AD2">
              <w:rPr>
                <w:rFonts w:ascii="新細明體" w:hAnsi="新細明體" w:hint="eastAsia"/>
                <w:color w:val="000000"/>
                <w:spacing w:val="10"/>
              </w:rPr>
              <w:t>為</w:t>
            </w:r>
            <w:r>
              <w:rPr>
                <w:rFonts w:ascii="新細明體" w:hAnsi="新細明體" w:hint="eastAsia"/>
                <w:color w:val="000000"/>
                <w:spacing w:val="10"/>
              </w:rPr>
              <w:t>因應緊急</w:t>
            </w:r>
            <w:r w:rsidRPr="00602AD2">
              <w:rPr>
                <w:rFonts w:ascii="新細明體" w:hAnsi="新細明體" w:hint="eastAsia"/>
                <w:color w:val="000000"/>
                <w:spacing w:val="10"/>
              </w:rPr>
              <w:t>資金週轉</w:t>
            </w:r>
            <w:r>
              <w:rPr>
                <w:rFonts w:ascii="新細明體" w:hAnsi="新細明體" w:hint="eastAsia"/>
                <w:color w:val="000000"/>
                <w:spacing w:val="10"/>
              </w:rPr>
              <w:t>而</w:t>
            </w:r>
            <w:r w:rsidRPr="00602AD2">
              <w:rPr>
                <w:rFonts w:ascii="新細明體" w:hAnsi="新細明體" w:hint="eastAsia"/>
                <w:color w:val="000000"/>
                <w:spacing w:val="10"/>
              </w:rPr>
              <w:t>向非金融保險機構借款，</w:t>
            </w:r>
            <w:r>
              <w:rPr>
                <w:rFonts w:ascii="新細明體" w:hAnsi="新細明體" w:hint="eastAsia"/>
                <w:color w:val="000000"/>
                <w:spacing w:val="10"/>
              </w:rPr>
              <w:t>是</w:t>
            </w:r>
            <w:r>
              <w:rPr>
                <w:rFonts w:ascii="新細明體" w:hAnsi="新細明體"/>
                <w:color w:val="000000"/>
                <w:spacing w:val="10"/>
              </w:rPr>
              <w:t>否</w:t>
            </w:r>
            <w:r w:rsidRPr="00602AD2">
              <w:rPr>
                <w:rFonts w:ascii="新細明體" w:hAnsi="新細明體" w:hint="eastAsia"/>
                <w:color w:val="000000"/>
                <w:spacing w:val="10"/>
              </w:rPr>
              <w:t>於事實發生之日起二日內向主管機關申報。</w:t>
            </w:r>
          </w:p>
          <w:p w:rsidR="003829FF" w:rsidRPr="00CE209D" w:rsidRDefault="003829FF" w:rsidP="00056C0F">
            <w:pPr>
              <w:adjustRightInd/>
              <w:snapToGrid w:val="0"/>
              <w:spacing w:line="400" w:lineRule="exact"/>
              <w:ind w:firstLineChars="108" w:firstLine="281"/>
              <w:jc w:val="both"/>
              <w:textAlignment w:val="auto"/>
              <w:rPr>
                <w:rFonts w:ascii="新細明體"/>
                <w:color w:val="000000"/>
                <w:spacing w:val="10"/>
              </w:rPr>
            </w:pPr>
          </w:p>
        </w:tc>
        <w:tc>
          <w:tcPr>
            <w:tcW w:w="567" w:type="dxa"/>
          </w:tcPr>
          <w:p w:rsidR="00031CA5" w:rsidRPr="00687B30" w:rsidRDefault="00031CA5">
            <w:pPr>
              <w:rPr>
                <w:rFonts w:ascii="標楷體" w:eastAsia="標楷體"/>
              </w:rPr>
            </w:pPr>
          </w:p>
          <w:p w:rsidR="00031CA5" w:rsidRPr="00687B30" w:rsidRDefault="00031CA5">
            <w:pPr>
              <w:jc w:val="center"/>
              <w:rPr>
                <w:rFonts w:ascii="標楷體" w:eastAsia="標楷體"/>
              </w:rPr>
            </w:pPr>
          </w:p>
          <w:p w:rsidR="00031CA5" w:rsidRPr="00687B30" w:rsidRDefault="00031CA5">
            <w:pPr>
              <w:rPr>
                <w:rFonts w:ascii="標楷體" w:eastAsia="標楷體"/>
              </w:rPr>
            </w:pPr>
          </w:p>
        </w:tc>
        <w:tc>
          <w:tcPr>
            <w:tcW w:w="567" w:type="dxa"/>
          </w:tcPr>
          <w:p w:rsidR="00031CA5" w:rsidRPr="00687B30" w:rsidRDefault="00031CA5">
            <w:pPr>
              <w:rPr>
                <w:rFonts w:ascii="新細明體"/>
              </w:rPr>
            </w:pPr>
          </w:p>
          <w:p w:rsidR="00031CA5" w:rsidRPr="00687B30" w:rsidRDefault="00031CA5">
            <w:pPr>
              <w:jc w:val="center"/>
              <w:rPr>
                <w:rFonts w:ascii="新細明體"/>
              </w:rPr>
            </w:pPr>
          </w:p>
          <w:p w:rsidR="00031CA5" w:rsidRPr="00687B30" w:rsidRDefault="00031CA5">
            <w:pPr>
              <w:rPr>
                <w:rFonts w:ascii="新細明體"/>
              </w:rPr>
            </w:pPr>
          </w:p>
        </w:tc>
        <w:tc>
          <w:tcPr>
            <w:tcW w:w="1134" w:type="dxa"/>
          </w:tcPr>
          <w:p w:rsidR="00031CA5" w:rsidRPr="00687B30" w:rsidRDefault="00031CA5">
            <w:pPr>
              <w:rPr>
                <w:rFonts w:ascii="新細明體"/>
              </w:rPr>
            </w:pPr>
          </w:p>
          <w:p w:rsidR="00031CA5" w:rsidRPr="00687B30" w:rsidRDefault="00031CA5">
            <w:pPr>
              <w:jc w:val="center"/>
              <w:rPr>
                <w:rFonts w:ascii="新細明體"/>
              </w:rPr>
            </w:pPr>
          </w:p>
          <w:p w:rsidR="00031CA5" w:rsidRPr="00687B30" w:rsidRDefault="00031CA5">
            <w:pPr>
              <w:rPr>
                <w:rFonts w:ascii="新細明體"/>
              </w:rPr>
            </w:pPr>
          </w:p>
        </w:tc>
        <w:tc>
          <w:tcPr>
            <w:tcW w:w="1985" w:type="dxa"/>
            <w:tcBorders>
              <w:right w:val="single" w:sz="12" w:space="0" w:color="auto"/>
            </w:tcBorders>
          </w:tcPr>
          <w:p w:rsidR="00031CA5" w:rsidRPr="00687B30" w:rsidRDefault="00031CA5">
            <w:pPr>
              <w:rPr>
                <w:rFonts w:ascii="新細明體"/>
              </w:rPr>
            </w:pPr>
          </w:p>
        </w:tc>
      </w:tr>
      <w:tr w:rsidR="00031CA5" w:rsidRPr="00687B30" w:rsidTr="003E2F46">
        <w:trPr>
          <w:cantSplit/>
          <w:trHeight w:hRule="exact" w:val="1005"/>
        </w:trPr>
        <w:tc>
          <w:tcPr>
            <w:tcW w:w="14176" w:type="dxa"/>
            <w:gridSpan w:val="6"/>
            <w:tcBorders>
              <w:left w:val="single" w:sz="12" w:space="0" w:color="auto"/>
              <w:bottom w:val="single" w:sz="12" w:space="0" w:color="auto"/>
              <w:right w:val="single" w:sz="12" w:space="0" w:color="auto"/>
            </w:tcBorders>
          </w:tcPr>
          <w:p w:rsidR="00031CA5" w:rsidRPr="00687B30" w:rsidRDefault="00031CA5">
            <w:pPr>
              <w:ind w:firstLine="180"/>
            </w:pPr>
            <w:r w:rsidRPr="00687B30">
              <w:rPr>
                <w:rFonts w:hint="eastAsia"/>
                <w:spacing w:val="24"/>
              </w:rPr>
              <w:t>備</w:t>
            </w:r>
            <w:r w:rsidRPr="00687B30">
              <w:rPr>
                <w:spacing w:val="24"/>
              </w:rPr>
              <w:t xml:space="preserve">  </w:t>
            </w:r>
            <w:r w:rsidRPr="00687B30">
              <w:rPr>
                <w:rFonts w:hint="eastAsia"/>
                <w:spacing w:val="24"/>
              </w:rPr>
              <w:t>註：</w:t>
            </w:r>
            <w:r w:rsidR="00F76D93">
              <w:rPr>
                <w:spacing w:val="24"/>
              </w:rPr>
              <w:t xml:space="preserve"> </w:t>
            </w:r>
          </w:p>
        </w:tc>
      </w:tr>
    </w:tbl>
    <w:p w:rsidR="00031CA5" w:rsidRPr="00687B30" w:rsidRDefault="00031CA5">
      <w:pPr>
        <w:spacing w:line="500" w:lineRule="atLeast"/>
        <w:ind w:firstLine="9361"/>
        <w:jc w:val="both"/>
        <w:rPr>
          <w:rFonts w:eastAsia="標楷體"/>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sectPr w:rsidR="00031CA5" w:rsidRPr="00687B30" w:rsidSect="00F94ED4">
      <w:pgSz w:w="16840" w:h="11907" w:orient="landscape" w:code="9"/>
      <w:pgMar w:top="719" w:right="1418" w:bottom="284" w:left="1418" w:header="851" w:footer="992" w:gutter="0"/>
      <w:pgNumType w:start="36"/>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FC8" w:rsidRDefault="00A62FC8">
      <w:pPr>
        <w:spacing w:line="240" w:lineRule="auto"/>
      </w:pPr>
      <w:r>
        <w:separator/>
      </w:r>
    </w:p>
  </w:endnote>
  <w:endnote w:type="continuationSeparator" w:id="0">
    <w:p w:rsidR="00A62FC8" w:rsidRDefault="00A6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FC8" w:rsidRDefault="00A62FC8">
      <w:pPr>
        <w:spacing w:line="240" w:lineRule="auto"/>
      </w:pPr>
      <w:r>
        <w:separator/>
      </w:r>
    </w:p>
  </w:footnote>
  <w:footnote w:type="continuationSeparator" w:id="0">
    <w:p w:rsidR="00A62FC8" w:rsidRDefault="00A6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1A47"/>
    <w:multiLevelType w:val="multilevel"/>
    <w:tmpl w:val="234473BC"/>
    <w:lvl w:ilvl="0">
      <w:start w:val="1"/>
      <w:numFmt w:val="taiwaneseCountingThousand"/>
      <w:suff w:val="space"/>
      <w:lvlText w:val="%1、"/>
      <w:lvlJc w:val="left"/>
      <w:pPr>
        <w:ind w:left="539" w:hanging="539"/>
      </w:pPr>
      <w:rPr>
        <w:rFonts w:cs="Times New Roman" w:hint="eastAsia"/>
      </w:rPr>
    </w:lvl>
    <w:lvl w:ilvl="1">
      <w:start w:val="1"/>
      <w:numFmt w:val="taiwaneseCountingThousand"/>
      <w:suff w:val="space"/>
      <w:lvlText w:val="(%2)"/>
      <w:lvlJc w:val="left"/>
      <w:pPr>
        <w:ind w:left="1021" w:hanging="454"/>
      </w:pPr>
      <w:rPr>
        <w:rFonts w:cs="Times New Roman" w:hint="eastAsia"/>
      </w:rPr>
    </w:lvl>
    <w:lvl w:ilvl="2">
      <w:start w:val="1"/>
      <w:numFmt w:val="decimal"/>
      <w:lvlText w:val="%3."/>
      <w:lvlJc w:val="left"/>
      <w:pPr>
        <w:tabs>
          <w:tab w:val="num" w:pos="1588"/>
        </w:tabs>
        <w:ind w:left="1588" w:hanging="454"/>
      </w:pPr>
      <w:rPr>
        <w:rFonts w:cs="Times New Roman" w:hint="eastAsia"/>
      </w:rPr>
    </w:lvl>
    <w:lvl w:ilvl="3">
      <w:start w:val="1"/>
      <w:numFmt w:val="decimal"/>
      <w:lvlText w:val="(%4) "/>
      <w:lvlJc w:val="left"/>
      <w:pPr>
        <w:tabs>
          <w:tab w:val="num" w:pos="2126"/>
        </w:tabs>
        <w:ind w:left="2126" w:hanging="595"/>
      </w:pPr>
      <w:rPr>
        <w:rFonts w:cs="Times New Roman" w:hint="eastAsia"/>
      </w:rPr>
    </w:lvl>
    <w:lvl w:ilvl="4">
      <w:start w:val="1"/>
      <w:numFmt w:val="upperLetter"/>
      <w:suff w:val="space"/>
      <w:lvlText w:val="%5."/>
      <w:lvlJc w:val="left"/>
      <w:pPr>
        <w:ind w:left="2041" w:firstLine="170"/>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298E5F92"/>
    <w:multiLevelType w:val="hybridMultilevel"/>
    <w:tmpl w:val="FA10C668"/>
    <w:lvl w:ilvl="0" w:tplc="AAF0561C">
      <w:start w:val="1"/>
      <w:numFmt w:val="taiwaneseCountingThousand"/>
      <w:lvlText w:val="(%1)"/>
      <w:lvlJc w:val="left"/>
      <w:pPr>
        <w:ind w:left="1350" w:hanging="510"/>
      </w:pPr>
      <w:rPr>
        <w:rFonts w:hAnsi="Times New Roman"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2" w15:restartNumberingAfterBreak="0">
    <w:nsid w:val="35373865"/>
    <w:multiLevelType w:val="hybridMultilevel"/>
    <w:tmpl w:val="6C9AEBDE"/>
    <w:lvl w:ilvl="0" w:tplc="9E3E5DDE">
      <w:start w:val="6"/>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E836355"/>
    <w:multiLevelType w:val="singleLevel"/>
    <w:tmpl w:val="E9561942"/>
    <w:lvl w:ilvl="0">
      <w:start w:val="1"/>
      <w:numFmt w:val="taiwaneseCountingThousand"/>
      <w:lvlText w:val="(%1)"/>
      <w:lvlJc w:val="left"/>
      <w:pPr>
        <w:tabs>
          <w:tab w:val="num" w:pos="495"/>
        </w:tabs>
        <w:ind w:left="495" w:hanging="495"/>
      </w:pPr>
      <w:rPr>
        <w:rFonts w:cs="Times New Roman" w:hint="eastAsia"/>
      </w:rPr>
    </w:lvl>
  </w:abstractNum>
  <w:abstractNum w:abstractNumId="4" w15:restartNumberingAfterBreak="0">
    <w:nsid w:val="487C019D"/>
    <w:multiLevelType w:val="hybridMultilevel"/>
    <w:tmpl w:val="0EA8950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59A71537"/>
    <w:multiLevelType w:val="hybridMultilevel"/>
    <w:tmpl w:val="075814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2F73A84"/>
    <w:multiLevelType w:val="multilevel"/>
    <w:tmpl w:val="14F6A60E"/>
    <w:lvl w:ilvl="0">
      <w:start w:val="1"/>
      <w:numFmt w:val="aiueo"/>
      <w:lvlText w:val="%1、"/>
      <w:legacy w:legacy="1" w:legacySpace="0" w:legacyIndent="567"/>
      <w:lvlJc w:val="left"/>
      <w:pPr>
        <w:ind w:left="567" w:hanging="567"/>
      </w:pPr>
      <w:rPr>
        <w:rFonts w:cs="Times New Roman"/>
      </w:rPr>
    </w:lvl>
    <w:lvl w:ilvl="1">
      <w:start w:val="1"/>
      <w:numFmt w:val="aiueo"/>
      <w:lvlText w:val="(%2)"/>
      <w:legacy w:legacy="1" w:legacySpace="0" w:legacyIndent="510"/>
      <w:lvlJc w:val="left"/>
      <w:pPr>
        <w:ind w:left="1077" w:hanging="510"/>
      </w:pPr>
      <w:rPr>
        <w:rFonts w:cs="Times New Roman"/>
      </w:rPr>
    </w:lvl>
    <w:lvl w:ilvl="2">
      <w:start w:val="1"/>
      <w:numFmt w:val="decimal"/>
      <w:lvlText w:val="%3."/>
      <w:legacy w:legacy="1" w:legacySpace="0" w:legacyIndent="425"/>
      <w:lvlJc w:val="left"/>
      <w:pPr>
        <w:ind w:left="1502" w:hanging="425"/>
      </w:pPr>
      <w:rPr>
        <w:rFonts w:cs="Times New Roman"/>
      </w:rPr>
    </w:lvl>
    <w:lvl w:ilvl="3">
      <w:start w:val="1"/>
      <w:numFmt w:val="decimal"/>
      <w:lvlText w:val="%4)"/>
      <w:legacy w:legacy="1" w:legacySpace="0" w:legacyIndent="425"/>
      <w:lvlJc w:val="left"/>
      <w:pPr>
        <w:ind w:left="1927" w:hanging="425"/>
      </w:pPr>
      <w:rPr>
        <w:rFonts w:cs="Times New Roman"/>
      </w:rPr>
    </w:lvl>
    <w:lvl w:ilvl="4">
      <w:start w:val="1"/>
      <w:numFmt w:val="decimal"/>
      <w:lvlText w:val="(%5)"/>
      <w:legacy w:legacy="1" w:legacySpace="0" w:legacyIndent="425"/>
      <w:lvlJc w:val="left"/>
      <w:pPr>
        <w:ind w:left="2352" w:hanging="425"/>
      </w:pPr>
      <w:rPr>
        <w:rFonts w:cs="Times New Roman"/>
      </w:rPr>
    </w:lvl>
    <w:lvl w:ilvl="5">
      <w:start w:val="1"/>
      <w:numFmt w:val="lowerLetter"/>
      <w:lvlText w:val="%6."/>
      <w:legacy w:legacy="1" w:legacySpace="0" w:legacyIndent="425"/>
      <w:lvlJc w:val="left"/>
      <w:pPr>
        <w:ind w:left="2777" w:hanging="425"/>
      </w:pPr>
      <w:rPr>
        <w:rFonts w:cs="Times New Roman"/>
      </w:rPr>
    </w:lvl>
    <w:lvl w:ilvl="6">
      <w:start w:val="1"/>
      <w:numFmt w:val="lowerLetter"/>
      <w:lvlText w:val="%7)"/>
      <w:legacy w:legacy="1" w:legacySpace="0" w:legacyIndent="425"/>
      <w:lvlJc w:val="left"/>
      <w:pPr>
        <w:ind w:left="3202" w:hanging="425"/>
      </w:pPr>
      <w:rPr>
        <w:rFonts w:cs="Times New Roman"/>
      </w:rPr>
    </w:lvl>
    <w:lvl w:ilvl="7">
      <w:start w:val="1"/>
      <w:numFmt w:val="lowerRoman"/>
      <w:lvlText w:val="(%8)"/>
      <w:legacy w:legacy="1" w:legacySpace="0" w:legacyIndent="425"/>
      <w:lvlJc w:val="left"/>
      <w:pPr>
        <w:ind w:left="3627" w:hanging="425"/>
      </w:pPr>
      <w:rPr>
        <w:rFonts w:cs="Times New Roman"/>
      </w:rPr>
    </w:lvl>
    <w:lvl w:ilvl="8">
      <w:start w:val="1"/>
      <w:numFmt w:val="lowerRoman"/>
      <w:lvlText w:val="%9"/>
      <w:legacy w:legacy="1" w:legacySpace="0" w:legacyIndent="425"/>
      <w:lvlJc w:val="left"/>
      <w:pPr>
        <w:ind w:left="4052" w:hanging="425"/>
      </w:pPr>
      <w:rPr>
        <w:rFonts w:cs="Times New Roman"/>
      </w:rPr>
    </w:lvl>
  </w:abstractNum>
  <w:abstractNum w:abstractNumId="7" w15:restartNumberingAfterBreak="0">
    <w:nsid w:val="764F0792"/>
    <w:multiLevelType w:val="multilevel"/>
    <w:tmpl w:val="9692EEF6"/>
    <w:lvl w:ilvl="0">
      <w:start w:val="1"/>
      <w:numFmt w:val="taiwaneseCountingThousand"/>
      <w:suff w:val="space"/>
      <w:lvlText w:val="(%1)"/>
      <w:lvlJc w:val="left"/>
      <w:pPr>
        <w:ind w:left="567" w:hanging="567"/>
      </w:pPr>
      <w:rPr>
        <w:rFonts w:cs="Times New Roman" w:hint="eastAsia"/>
      </w:rPr>
    </w:lvl>
    <w:lvl w:ilvl="1">
      <w:start w:val="1"/>
      <w:numFmt w:val="decimal"/>
      <w:suff w:val="space"/>
      <w:lvlText w:val="%2."/>
      <w:lvlJc w:val="left"/>
      <w:pPr>
        <w:ind w:left="851" w:hanging="284"/>
      </w:pPr>
      <w:rPr>
        <w:rFonts w:cs="Times New Roman" w:hint="eastAsia"/>
      </w:rPr>
    </w:lvl>
    <w:lvl w:ilvl="2">
      <w:start w:val="1"/>
      <w:numFmt w:val="decimal"/>
      <w:lvlText w:val="(%3)"/>
      <w:lvlJc w:val="left"/>
      <w:pPr>
        <w:tabs>
          <w:tab w:val="num" w:pos="1276"/>
        </w:tabs>
        <w:ind w:left="1276" w:hanging="425"/>
      </w:pPr>
      <w:rPr>
        <w:rFonts w:cs="Times New Roman" w:hint="eastAsia"/>
      </w:rPr>
    </w:lvl>
    <w:lvl w:ilvl="3">
      <w:start w:val="1"/>
      <w:numFmt w:val="lowerLetter"/>
      <w:lvlText w:val="%4."/>
      <w:lvlJc w:val="left"/>
      <w:pPr>
        <w:tabs>
          <w:tab w:val="num" w:pos="1440"/>
        </w:tabs>
        <w:ind w:left="1440" w:hanging="360"/>
      </w:pPr>
      <w:rPr>
        <w:rFonts w:cs="Times New Roman" w:hint="eastAsia"/>
      </w:rPr>
    </w:lvl>
    <w:lvl w:ilvl="4">
      <w:start w:val="1"/>
      <w:numFmt w:val="decimal"/>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8" w15:restartNumberingAfterBreak="0">
    <w:nsid w:val="7715327F"/>
    <w:multiLevelType w:val="hybridMultilevel"/>
    <w:tmpl w:val="BF6ACD3E"/>
    <w:lvl w:ilvl="0" w:tplc="B1EE78A4">
      <w:start w:val="2"/>
      <w:numFmt w:val="taiwaneseCountingThousand"/>
      <w:lvlText w:val="(%1)"/>
      <w:lvlJc w:val="left"/>
      <w:pPr>
        <w:ind w:left="480" w:hanging="480"/>
      </w:pPr>
      <w:rPr>
        <w:rFonts w:cstheme="minorBidi"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E87832"/>
    <w:multiLevelType w:val="hybridMultilevel"/>
    <w:tmpl w:val="B5C012A2"/>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6"/>
  </w:num>
  <w:num w:numId="2">
    <w:abstractNumId w:val="0"/>
  </w:num>
  <w:num w:numId="3">
    <w:abstractNumId w:val="7"/>
  </w:num>
  <w:num w:numId="4">
    <w:abstractNumId w:val="3"/>
  </w:num>
  <w:num w:numId="5">
    <w:abstractNumId w:val="9"/>
  </w:num>
  <w:num w:numId="6">
    <w:abstractNumId w:val="2"/>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C5"/>
    <w:rsid w:val="0000715C"/>
    <w:rsid w:val="00014B80"/>
    <w:rsid w:val="00026AC2"/>
    <w:rsid w:val="00026D72"/>
    <w:rsid w:val="00030532"/>
    <w:rsid w:val="00031CA5"/>
    <w:rsid w:val="00036F39"/>
    <w:rsid w:val="00044FAB"/>
    <w:rsid w:val="00056C0F"/>
    <w:rsid w:val="00070731"/>
    <w:rsid w:val="0007168D"/>
    <w:rsid w:val="00084EA9"/>
    <w:rsid w:val="000A0277"/>
    <w:rsid w:val="000A4E4C"/>
    <w:rsid w:val="000A7C12"/>
    <w:rsid w:val="000C4CDB"/>
    <w:rsid w:val="000C520D"/>
    <w:rsid w:val="000E4067"/>
    <w:rsid w:val="00103D74"/>
    <w:rsid w:val="001202B2"/>
    <w:rsid w:val="001D35E8"/>
    <w:rsid w:val="001E2300"/>
    <w:rsid w:val="001E683D"/>
    <w:rsid w:val="002058A9"/>
    <w:rsid w:val="0021612D"/>
    <w:rsid w:val="0023048F"/>
    <w:rsid w:val="002908C8"/>
    <w:rsid w:val="00296BD4"/>
    <w:rsid w:val="00296F20"/>
    <w:rsid w:val="002A03AB"/>
    <w:rsid w:val="002F02BA"/>
    <w:rsid w:val="0033480A"/>
    <w:rsid w:val="00346DAD"/>
    <w:rsid w:val="00351570"/>
    <w:rsid w:val="003829FF"/>
    <w:rsid w:val="00392D61"/>
    <w:rsid w:val="003E2F46"/>
    <w:rsid w:val="003F0039"/>
    <w:rsid w:val="00425A17"/>
    <w:rsid w:val="004326D6"/>
    <w:rsid w:val="004500BB"/>
    <w:rsid w:val="00482872"/>
    <w:rsid w:val="004C1B69"/>
    <w:rsid w:val="004C3A6F"/>
    <w:rsid w:val="00511208"/>
    <w:rsid w:val="0054072C"/>
    <w:rsid w:val="00573C80"/>
    <w:rsid w:val="005B7922"/>
    <w:rsid w:val="005C7F8C"/>
    <w:rsid w:val="0061616D"/>
    <w:rsid w:val="00634446"/>
    <w:rsid w:val="00687B30"/>
    <w:rsid w:val="006B2D7D"/>
    <w:rsid w:val="006F1D3D"/>
    <w:rsid w:val="006F7D60"/>
    <w:rsid w:val="00727152"/>
    <w:rsid w:val="007668C4"/>
    <w:rsid w:val="007714E1"/>
    <w:rsid w:val="00771CFE"/>
    <w:rsid w:val="007A27C6"/>
    <w:rsid w:val="00803F9A"/>
    <w:rsid w:val="00866B70"/>
    <w:rsid w:val="008911F7"/>
    <w:rsid w:val="008B366E"/>
    <w:rsid w:val="008F7B8A"/>
    <w:rsid w:val="0095681B"/>
    <w:rsid w:val="00974112"/>
    <w:rsid w:val="009B34F2"/>
    <w:rsid w:val="009B7FBC"/>
    <w:rsid w:val="009C7358"/>
    <w:rsid w:val="009D0580"/>
    <w:rsid w:val="00A270DC"/>
    <w:rsid w:val="00A62FC8"/>
    <w:rsid w:val="00A71D4C"/>
    <w:rsid w:val="00A7307F"/>
    <w:rsid w:val="00A80D33"/>
    <w:rsid w:val="00AA5A3B"/>
    <w:rsid w:val="00AD1CE3"/>
    <w:rsid w:val="00AD3F78"/>
    <w:rsid w:val="00AF1451"/>
    <w:rsid w:val="00AF36A6"/>
    <w:rsid w:val="00AF7CE5"/>
    <w:rsid w:val="00B02C4A"/>
    <w:rsid w:val="00BB672E"/>
    <w:rsid w:val="00BD6687"/>
    <w:rsid w:val="00BE765F"/>
    <w:rsid w:val="00BF6A25"/>
    <w:rsid w:val="00C16093"/>
    <w:rsid w:val="00C623F6"/>
    <w:rsid w:val="00C762BA"/>
    <w:rsid w:val="00C80B9D"/>
    <w:rsid w:val="00CC7530"/>
    <w:rsid w:val="00CE209D"/>
    <w:rsid w:val="00CF6281"/>
    <w:rsid w:val="00D75350"/>
    <w:rsid w:val="00DB151A"/>
    <w:rsid w:val="00DD1D35"/>
    <w:rsid w:val="00DF1479"/>
    <w:rsid w:val="00DF6310"/>
    <w:rsid w:val="00E12F04"/>
    <w:rsid w:val="00E538F7"/>
    <w:rsid w:val="00E6258F"/>
    <w:rsid w:val="00E94806"/>
    <w:rsid w:val="00EA6F22"/>
    <w:rsid w:val="00ED2D66"/>
    <w:rsid w:val="00EE6528"/>
    <w:rsid w:val="00EF6209"/>
    <w:rsid w:val="00F021B7"/>
    <w:rsid w:val="00F76D93"/>
    <w:rsid w:val="00F87F03"/>
    <w:rsid w:val="00F94ED4"/>
    <w:rsid w:val="00F97B92"/>
    <w:rsid w:val="00FC3FC5"/>
    <w:rsid w:val="00FD7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93A4A1E-A91D-4EE0-B5A1-23467382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ED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94ED4"/>
    <w:pPr>
      <w:tabs>
        <w:tab w:val="center" w:pos="4153"/>
        <w:tab w:val="right" w:pos="8306"/>
      </w:tabs>
      <w:snapToGrid w:val="0"/>
    </w:pPr>
    <w:rPr>
      <w:sz w:val="20"/>
    </w:rPr>
  </w:style>
  <w:style w:type="character" w:customStyle="1" w:styleId="a4">
    <w:name w:val="頁首 字元"/>
    <w:basedOn w:val="a0"/>
    <w:link w:val="a3"/>
    <w:uiPriority w:val="99"/>
    <w:semiHidden/>
    <w:locked/>
    <w:rsid w:val="00F94ED4"/>
    <w:rPr>
      <w:rFonts w:cs="Times New Roman"/>
    </w:rPr>
  </w:style>
  <w:style w:type="paragraph" w:styleId="a5">
    <w:name w:val="footer"/>
    <w:basedOn w:val="a"/>
    <w:link w:val="a6"/>
    <w:uiPriority w:val="99"/>
    <w:semiHidden/>
    <w:rsid w:val="00F94ED4"/>
    <w:pPr>
      <w:tabs>
        <w:tab w:val="center" w:pos="4153"/>
        <w:tab w:val="right" w:pos="8306"/>
      </w:tabs>
      <w:snapToGrid w:val="0"/>
    </w:pPr>
    <w:rPr>
      <w:sz w:val="20"/>
    </w:rPr>
  </w:style>
  <w:style w:type="character" w:customStyle="1" w:styleId="a6">
    <w:name w:val="頁尾 字元"/>
    <w:basedOn w:val="a0"/>
    <w:link w:val="a5"/>
    <w:uiPriority w:val="99"/>
    <w:semiHidden/>
    <w:locked/>
    <w:rsid w:val="00F94ED4"/>
    <w:rPr>
      <w:rFonts w:cs="Times New Roman"/>
    </w:rPr>
  </w:style>
  <w:style w:type="character" w:styleId="a7">
    <w:name w:val="page number"/>
    <w:basedOn w:val="a0"/>
    <w:uiPriority w:val="99"/>
    <w:semiHidden/>
    <w:rsid w:val="00F94ED4"/>
    <w:rPr>
      <w:rFonts w:cs="Times New Roman"/>
    </w:rPr>
  </w:style>
  <w:style w:type="paragraph" w:styleId="a8">
    <w:name w:val="Balloon Text"/>
    <w:basedOn w:val="a"/>
    <w:link w:val="a9"/>
    <w:uiPriority w:val="99"/>
    <w:semiHidden/>
    <w:unhideWhenUsed/>
    <w:rsid w:val="00DF6310"/>
    <w:pPr>
      <w:spacing w:line="240" w:lineRule="auto"/>
    </w:pPr>
    <w:rPr>
      <w:rFonts w:ascii="Cambria" w:hAnsi="Cambria"/>
      <w:sz w:val="18"/>
      <w:szCs w:val="18"/>
    </w:rPr>
  </w:style>
  <w:style w:type="character" w:customStyle="1" w:styleId="a9">
    <w:name w:val="註解方塊文字 字元"/>
    <w:basedOn w:val="a0"/>
    <w:link w:val="a8"/>
    <w:uiPriority w:val="99"/>
    <w:semiHidden/>
    <w:locked/>
    <w:rsid w:val="00DF6310"/>
    <w:rPr>
      <w:rFonts w:ascii="Cambria" w:eastAsia="新細明體" w:hAnsi="Cambria" w:cs="Times New Roman"/>
      <w:sz w:val="18"/>
    </w:rPr>
  </w:style>
  <w:style w:type="paragraph" w:styleId="aa">
    <w:name w:val="List Paragraph"/>
    <w:basedOn w:val="a"/>
    <w:uiPriority w:val="99"/>
    <w:qFormat/>
    <w:rsid w:val="003829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4</DocSecurity>
  <Lines>3</Lines>
  <Paragraphs>1</Paragraphs>
  <ScaleCrop>false</ScaleCrop>
  <Company>證交所</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目_</dc:title>
  <dc:subject/>
  <dc:creator>TSE1</dc:creator>
  <cp:keywords/>
  <dc:description/>
  <cp:lastModifiedBy>陳品齊</cp:lastModifiedBy>
  <cp:revision>2</cp:revision>
  <cp:lastPrinted>2016-03-31T08:47:00Z</cp:lastPrinted>
  <dcterms:created xsi:type="dcterms:W3CDTF">2019-07-08T06:01:00Z</dcterms:created>
  <dcterms:modified xsi:type="dcterms:W3CDTF">2019-07-08T06:01:00Z</dcterms:modified>
</cp:coreProperties>
</file>