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D19A" w14:textId="77777777" w:rsidR="001158E3" w:rsidRDefault="00693FE7">
      <w:pPr>
        <w:pStyle w:val="a7"/>
        <w:spacing w:after="120"/>
        <w:jc w:val="both"/>
        <w:rPr>
          <w:rFonts w:ascii="標楷體" w:eastAsia="標楷體" w:hAnsi="標楷體"/>
        </w:rPr>
      </w:pPr>
      <w:r>
        <w:rPr>
          <w:rFonts w:ascii="標楷體" w:eastAsia="標楷體" w:hAnsi="標楷體"/>
        </w:rPr>
        <w:t>附件八</w:t>
      </w:r>
    </w:p>
    <w:p w14:paraId="6662CC2C" w14:textId="77777777" w:rsidR="001158E3" w:rsidRDefault="00693FE7">
      <w:pPr>
        <w:pStyle w:val="a7"/>
        <w:spacing w:after="120"/>
        <w:jc w:val="center"/>
        <w:rPr>
          <w:rFonts w:ascii="標楷體" w:eastAsia="標楷體" w:hAnsi="標楷體"/>
          <w:sz w:val="40"/>
        </w:rPr>
      </w:pPr>
      <w:r>
        <w:rPr>
          <w:rFonts w:ascii="標楷體" w:eastAsia="標楷體" w:hAnsi="標楷體"/>
          <w:sz w:val="40"/>
        </w:rPr>
        <w:t>推薦證券商評估報告</w:t>
      </w:r>
    </w:p>
    <w:p w14:paraId="773F9BE8" w14:textId="77777777" w:rsidR="001158E3" w:rsidRDefault="00693FE7">
      <w:pPr>
        <w:pStyle w:val="a7"/>
        <w:spacing w:after="120"/>
      </w:pPr>
      <w:r>
        <w:rPr>
          <w:rFonts w:ascii="標楷體" w:eastAsia="標楷體" w:hAnsi="標楷體"/>
          <w:sz w:val="32"/>
        </w:rPr>
        <w:t>申請股票第一上櫃公司名稱(中文)：</w:t>
      </w:r>
      <w:r>
        <w:rPr>
          <w:rFonts w:ascii="標楷體" w:eastAsia="標楷體" w:hAnsi="標楷體"/>
          <w:sz w:val="32"/>
          <w:u w:val="single"/>
        </w:rPr>
        <w:t xml:space="preserve">            </w:t>
      </w:r>
      <w:r>
        <w:rPr>
          <w:rFonts w:ascii="標楷體" w:eastAsia="標楷體" w:hAnsi="標楷體"/>
          <w:sz w:val="32"/>
        </w:rPr>
        <w:t>公司</w:t>
      </w:r>
    </w:p>
    <w:p w14:paraId="5E4D1102" w14:textId="77777777" w:rsidR="001158E3" w:rsidRDefault="00693FE7">
      <w:pPr>
        <w:pStyle w:val="a7"/>
        <w:spacing w:after="120"/>
      </w:pPr>
      <w:r>
        <w:rPr>
          <w:rFonts w:ascii="標楷體" w:eastAsia="標楷體" w:hAnsi="標楷體"/>
          <w:sz w:val="32"/>
        </w:rPr>
        <w:t>申請股票第一上櫃公司名稱(英文)：</w:t>
      </w:r>
      <w:r>
        <w:rPr>
          <w:rFonts w:ascii="標楷體" w:eastAsia="標楷體" w:hAnsi="標楷體"/>
          <w:sz w:val="32"/>
          <w:u w:val="single"/>
        </w:rPr>
        <w:t xml:space="preserve">            </w:t>
      </w:r>
    </w:p>
    <w:p w14:paraId="4D927223" w14:textId="77777777" w:rsidR="001158E3" w:rsidRDefault="00693FE7">
      <w:pPr>
        <w:pStyle w:val="a7"/>
        <w:spacing w:after="120"/>
      </w:pPr>
      <w:r>
        <w:rPr>
          <w:rFonts w:ascii="標楷體" w:eastAsia="標楷體" w:hAnsi="標楷體"/>
          <w:sz w:val="32"/>
        </w:rPr>
        <w:t>最近</w:t>
      </w:r>
      <w:r>
        <w:rPr>
          <w:rFonts w:ascii="標楷體" w:eastAsia="標楷體" w:hAnsi="標楷體"/>
          <w:color w:val="000000"/>
          <w:sz w:val="32"/>
        </w:rPr>
        <w:t>期經會計師查核簽證或核閱之歸屬於母公司業主之權益總額</w:t>
      </w:r>
      <w:r>
        <w:rPr>
          <w:rFonts w:ascii="標楷體" w:eastAsia="標楷體" w:hAnsi="標楷體"/>
          <w:sz w:val="32"/>
        </w:rPr>
        <w:t>：新臺幣</w:t>
      </w:r>
      <w:r>
        <w:rPr>
          <w:rFonts w:ascii="標楷體" w:eastAsia="標楷體" w:hAnsi="標楷體"/>
          <w:sz w:val="32"/>
          <w:u w:val="single"/>
        </w:rPr>
        <w:t xml:space="preserve">            </w:t>
      </w:r>
      <w:r>
        <w:rPr>
          <w:rFonts w:ascii="標楷體" w:eastAsia="標楷體" w:hAnsi="標楷體"/>
          <w:sz w:val="32"/>
        </w:rPr>
        <w:t>元</w:t>
      </w:r>
    </w:p>
    <w:p w14:paraId="06317E96" w14:textId="77777777" w:rsidR="001158E3" w:rsidRDefault="001158E3">
      <w:pPr>
        <w:pStyle w:val="a7"/>
        <w:spacing w:after="120"/>
        <w:jc w:val="both"/>
        <w:rPr>
          <w:rFonts w:ascii="標楷體" w:eastAsia="標楷體" w:hAnsi="標楷體"/>
          <w:sz w:val="32"/>
        </w:rPr>
      </w:pPr>
    </w:p>
    <w:tbl>
      <w:tblPr>
        <w:tblW w:w="9468" w:type="dxa"/>
        <w:jc w:val="center"/>
        <w:tblCellMar>
          <w:left w:w="10" w:type="dxa"/>
          <w:right w:w="10" w:type="dxa"/>
        </w:tblCellMar>
        <w:tblLook w:val="04A0" w:firstRow="1" w:lastRow="0" w:firstColumn="1" w:lastColumn="0" w:noHBand="0" w:noVBand="1"/>
      </w:tblPr>
      <w:tblGrid>
        <w:gridCol w:w="2324"/>
        <w:gridCol w:w="3572"/>
        <w:gridCol w:w="3572"/>
      </w:tblGrid>
      <w:tr w:rsidR="001158E3" w14:paraId="01365FEE" w14:textId="77777777">
        <w:trPr>
          <w:jc w:val="center"/>
        </w:trPr>
        <w:tc>
          <w:tcPr>
            <w:tcW w:w="2324" w:type="dxa"/>
            <w:shd w:val="clear" w:color="auto" w:fill="auto"/>
            <w:tcMar>
              <w:top w:w="0" w:type="dxa"/>
              <w:left w:w="108" w:type="dxa"/>
              <w:bottom w:w="0" w:type="dxa"/>
              <w:right w:w="108" w:type="dxa"/>
            </w:tcMar>
            <w:vAlign w:val="center"/>
          </w:tcPr>
          <w:p w14:paraId="33D1FA1D" w14:textId="77777777" w:rsidR="001158E3" w:rsidRDefault="00693FE7">
            <w:pPr>
              <w:pStyle w:val="a7"/>
              <w:snapToGrid w:val="0"/>
              <w:spacing w:line="240" w:lineRule="atLeast"/>
              <w:jc w:val="center"/>
              <w:rPr>
                <w:rFonts w:ascii="標楷體" w:eastAsia="標楷體" w:hAnsi="標楷體"/>
                <w:sz w:val="28"/>
              </w:rPr>
            </w:pPr>
            <w:r>
              <w:rPr>
                <w:rFonts w:ascii="標楷體" w:eastAsia="標楷體" w:hAnsi="標楷體"/>
                <w:sz w:val="28"/>
              </w:rPr>
              <w:t>推薦證券商名稱</w:t>
            </w:r>
          </w:p>
        </w:tc>
        <w:tc>
          <w:tcPr>
            <w:tcW w:w="3572" w:type="dxa"/>
            <w:shd w:val="clear" w:color="auto" w:fill="auto"/>
            <w:tcMar>
              <w:top w:w="0" w:type="dxa"/>
              <w:left w:w="108" w:type="dxa"/>
              <w:bottom w:w="0" w:type="dxa"/>
              <w:right w:w="108" w:type="dxa"/>
            </w:tcMar>
            <w:vAlign w:val="center"/>
          </w:tcPr>
          <w:p w14:paraId="1974F82A" w14:textId="77777777" w:rsidR="001158E3" w:rsidRDefault="00693FE7">
            <w:pPr>
              <w:pStyle w:val="a7"/>
              <w:snapToGrid w:val="0"/>
              <w:spacing w:line="240" w:lineRule="atLeast"/>
              <w:jc w:val="center"/>
              <w:rPr>
                <w:rFonts w:ascii="標楷體" w:eastAsia="標楷體" w:hAnsi="標楷體"/>
                <w:sz w:val="28"/>
              </w:rPr>
            </w:pPr>
            <w:r>
              <w:rPr>
                <w:rFonts w:ascii="標楷體" w:eastAsia="標楷體" w:hAnsi="標楷體"/>
                <w:sz w:val="28"/>
              </w:rPr>
              <w:t>金融監督管理委員會</w:t>
            </w:r>
          </w:p>
          <w:p w14:paraId="37611DA1" w14:textId="77777777" w:rsidR="001158E3" w:rsidRDefault="00693FE7">
            <w:pPr>
              <w:pStyle w:val="a7"/>
              <w:snapToGrid w:val="0"/>
              <w:spacing w:line="240" w:lineRule="atLeast"/>
              <w:jc w:val="center"/>
              <w:rPr>
                <w:rFonts w:ascii="標楷體" w:eastAsia="標楷體" w:hAnsi="標楷體"/>
                <w:sz w:val="28"/>
              </w:rPr>
            </w:pPr>
            <w:r>
              <w:rPr>
                <w:rFonts w:ascii="標楷體" w:eastAsia="標楷體" w:hAnsi="標楷體"/>
                <w:sz w:val="28"/>
              </w:rPr>
              <w:t>營業許可證照日期、文號</w:t>
            </w:r>
          </w:p>
        </w:tc>
        <w:tc>
          <w:tcPr>
            <w:tcW w:w="3572" w:type="dxa"/>
            <w:shd w:val="clear" w:color="auto" w:fill="auto"/>
            <w:tcMar>
              <w:top w:w="0" w:type="dxa"/>
              <w:left w:w="108" w:type="dxa"/>
              <w:bottom w:w="0" w:type="dxa"/>
              <w:right w:w="108" w:type="dxa"/>
            </w:tcMar>
            <w:vAlign w:val="center"/>
          </w:tcPr>
          <w:p w14:paraId="23BA7013" w14:textId="77777777" w:rsidR="001158E3" w:rsidRDefault="00693FE7">
            <w:pPr>
              <w:pStyle w:val="a7"/>
              <w:snapToGrid w:val="0"/>
              <w:spacing w:line="240" w:lineRule="atLeast"/>
              <w:jc w:val="center"/>
              <w:rPr>
                <w:rFonts w:ascii="標楷體" w:eastAsia="標楷體" w:hAnsi="標楷體"/>
                <w:sz w:val="28"/>
              </w:rPr>
            </w:pPr>
            <w:r>
              <w:rPr>
                <w:rFonts w:ascii="標楷體" w:eastAsia="標楷體" w:hAnsi="標楷體"/>
                <w:sz w:val="28"/>
              </w:rPr>
              <w:t>是否符合證券商管理規則</w:t>
            </w:r>
          </w:p>
          <w:p w14:paraId="426A406D" w14:textId="77777777" w:rsidR="001158E3" w:rsidRDefault="00693FE7">
            <w:pPr>
              <w:pStyle w:val="a7"/>
              <w:snapToGrid w:val="0"/>
              <w:spacing w:line="240" w:lineRule="atLeast"/>
              <w:jc w:val="center"/>
              <w:rPr>
                <w:rFonts w:ascii="標楷體" w:eastAsia="標楷體" w:hAnsi="標楷體"/>
                <w:sz w:val="28"/>
              </w:rPr>
            </w:pPr>
            <w:r>
              <w:rPr>
                <w:rFonts w:ascii="標楷體" w:eastAsia="標楷體" w:hAnsi="標楷體"/>
                <w:sz w:val="28"/>
              </w:rPr>
              <w:t>第二十三條之規定</w:t>
            </w:r>
          </w:p>
        </w:tc>
      </w:tr>
      <w:tr w:rsidR="001158E3" w14:paraId="50466FE7" w14:textId="77777777">
        <w:trPr>
          <w:jc w:val="center"/>
        </w:trPr>
        <w:tc>
          <w:tcPr>
            <w:tcW w:w="2324" w:type="dxa"/>
            <w:shd w:val="clear" w:color="auto" w:fill="auto"/>
            <w:tcMar>
              <w:top w:w="0" w:type="dxa"/>
              <w:left w:w="108" w:type="dxa"/>
              <w:bottom w:w="0" w:type="dxa"/>
              <w:right w:w="108" w:type="dxa"/>
            </w:tcMar>
          </w:tcPr>
          <w:p w14:paraId="1E0AE822" w14:textId="77777777" w:rsidR="001158E3" w:rsidRDefault="001158E3">
            <w:pPr>
              <w:pStyle w:val="a7"/>
              <w:snapToGrid w:val="0"/>
              <w:spacing w:line="240" w:lineRule="atLeast"/>
              <w:jc w:val="both"/>
              <w:rPr>
                <w:rFonts w:ascii="標楷體" w:eastAsia="標楷體" w:hAnsi="標楷體"/>
                <w:sz w:val="28"/>
              </w:rPr>
            </w:pPr>
          </w:p>
        </w:tc>
        <w:tc>
          <w:tcPr>
            <w:tcW w:w="3572" w:type="dxa"/>
            <w:shd w:val="clear" w:color="auto" w:fill="auto"/>
            <w:tcMar>
              <w:top w:w="0" w:type="dxa"/>
              <w:left w:w="108" w:type="dxa"/>
              <w:bottom w:w="0" w:type="dxa"/>
              <w:right w:w="108" w:type="dxa"/>
            </w:tcMar>
          </w:tcPr>
          <w:p w14:paraId="23781C73" w14:textId="77777777" w:rsidR="001158E3" w:rsidRDefault="001158E3">
            <w:pPr>
              <w:pStyle w:val="a7"/>
              <w:snapToGrid w:val="0"/>
              <w:spacing w:line="240" w:lineRule="atLeast"/>
              <w:jc w:val="both"/>
              <w:rPr>
                <w:rFonts w:ascii="標楷體" w:eastAsia="標楷體" w:hAnsi="標楷體"/>
                <w:sz w:val="28"/>
              </w:rPr>
            </w:pPr>
          </w:p>
        </w:tc>
        <w:tc>
          <w:tcPr>
            <w:tcW w:w="3572" w:type="dxa"/>
            <w:shd w:val="clear" w:color="auto" w:fill="auto"/>
            <w:tcMar>
              <w:top w:w="0" w:type="dxa"/>
              <w:left w:w="108" w:type="dxa"/>
              <w:bottom w:w="0" w:type="dxa"/>
              <w:right w:w="108" w:type="dxa"/>
            </w:tcMar>
          </w:tcPr>
          <w:p w14:paraId="51E81A51" w14:textId="77777777" w:rsidR="001158E3" w:rsidRDefault="001158E3">
            <w:pPr>
              <w:pStyle w:val="a7"/>
              <w:snapToGrid w:val="0"/>
              <w:spacing w:line="240" w:lineRule="atLeast"/>
              <w:jc w:val="both"/>
              <w:rPr>
                <w:rFonts w:ascii="標楷體" w:eastAsia="標楷體" w:hAnsi="標楷體"/>
                <w:sz w:val="28"/>
              </w:rPr>
            </w:pPr>
          </w:p>
        </w:tc>
      </w:tr>
    </w:tbl>
    <w:p w14:paraId="393FC43D" w14:textId="77777777" w:rsidR="001158E3" w:rsidRDefault="001158E3">
      <w:pPr>
        <w:pStyle w:val="a7"/>
        <w:snapToGrid w:val="0"/>
        <w:spacing w:line="240" w:lineRule="atLeast"/>
        <w:jc w:val="both"/>
        <w:rPr>
          <w:rFonts w:ascii="標楷體" w:eastAsia="標楷體" w:hAnsi="標楷體"/>
          <w:sz w:val="28"/>
        </w:rPr>
      </w:pPr>
    </w:p>
    <w:p w14:paraId="5E583166" w14:textId="77777777" w:rsidR="001158E3" w:rsidRDefault="00693FE7">
      <w:pPr>
        <w:pStyle w:val="a7"/>
        <w:snapToGrid w:val="0"/>
        <w:spacing w:line="240" w:lineRule="atLeast"/>
        <w:jc w:val="both"/>
        <w:rPr>
          <w:rFonts w:ascii="標楷體" w:eastAsia="標楷體" w:hAnsi="標楷體"/>
          <w:sz w:val="28"/>
        </w:rPr>
      </w:pPr>
      <w:r>
        <w:rPr>
          <w:rFonts w:ascii="標楷體" w:eastAsia="標楷體" w:hAnsi="標楷體"/>
          <w:sz w:val="28"/>
        </w:rPr>
        <w:t xml:space="preserve">　　　　　　　　　　　　　　　　　　　　　　　　　　　　　　　　　　　　　　　　　　　　　　　　</w:t>
      </w:r>
    </w:p>
    <w:p w14:paraId="786BFCB4" w14:textId="77777777" w:rsidR="001158E3" w:rsidRDefault="00693FE7">
      <w:pPr>
        <w:pStyle w:val="a7"/>
        <w:snapToGrid w:val="0"/>
        <w:spacing w:line="240" w:lineRule="atLeast"/>
        <w:jc w:val="both"/>
        <w:rPr>
          <w:rFonts w:ascii="標楷體" w:eastAsia="標楷體" w:hAnsi="標楷體"/>
          <w:sz w:val="28"/>
        </w:rPr>
      </w:pPr>
      <w:r>
        <w:rPr>
          <w:rFonts w:ascii="標楷體" w:eastAsia="標楷體" w:hAnsi="標楷體"/>
          <w:sz w:val="28"/>
        </w:rPr>
        <w:t xml:space="preserve">　　　　　　　　　　　　　　　　　　　　　　　　　　　　　　　　　　　　　　　　　　　　　　　　</w:t>
      </w:r>
    </w:p>
    <w:p w14:paraId="61CA7FBF" w14:textId="77777777" w:rsidR="001158E3" w:rsidRDefault="00693FE7">
      <w:pPr>
        <w:pStyle w:val="a7"/>
        <w:snapToGrid w:val="0"/>
        <w:spacing w:line="240" w:lineRule="atLeast"/>
        <w:jc w:val="both"/>
        <w:rPr>
          <w:rFonts w:ascii="標楷體" w:eastAsia="標楷體" w:hAnsi="標楷體"/>
          <w:sz w:val="28"/>
        </w:rPr>
      </w:pPr>
      <w:r>
        <w:rPr>
          <w:rFonts w:ascii="標楷體" w:eastAsia="標楷體" w:hAnsi="標楷體"/>
          <w:sz w:val="28"/>
        </w:rPr>
        <w:t xml:space="preserve">　　　　　　　　　　　　　　　　　　　　　　　　　　　　　　　　　　　　　　　　　　　　　　　　</w:t>
      </w:r>
    </w:p>
    <w:p w14:paraId="3093B40E" w14:textId="77777777" w:rsidR="001158E3" w:rsidRDefault="001158E3">
      <w:pPr>
        <w:pStyle w:val="a7"/>
        <w:snapToGrid w:val="0"/>
        <w:spacing w:line="240" w:lineRule="atLeast"/>
        <w:jc w:val="both"/>
        <w:rPr>
          <w:rFonts w:ascii="標楷體" w:eastAsia="標楷體" w:hAnsi="標楷體"/>
          <w:sz w:val="28"/>
        </w:rPr>
      </w:pPr>
    </w:p>
    <w:p w14:paraId="2D6F459E" w14:textId="77777777" w:rsidR="001158E3" w:rsidRDefault="00693FE7">
      <w:pPr>
        <w:pStyle w:val="a7"/>
        <w:snapToGrid w:val="0"/>
        <w:spacing w:line="240" w:lineRule="atLeast"/>
        <w:jc w:val="both"/>
        <w:rPr>
          <w:rFonts w:ascii="標楷體" w:eastAsia="標楷體" w:hAnsi="標楷體"/>
          <w:sz w:val="28"/>
        </w:rPr>
      </w:pPr>
      <w:r>
        <w:rPr>
          <w:rFonts w:ascii="標楷體" w:eastAsia="標楷體" w:hAnsi="標楷體"/>
          <w:sz w:val="28"/>
        </w:rPr>
        <w:t>推薦證券商與申請股票第一上櫃</w:t>
      </w:r>
      <w:proofErr w:type="gramStart"/>
      <w:r>
        <w:rPr>
          <w:rFonts w:ascii="標楷體" w:eastAsia="標楷體" w:hAnsi="標楷體"/>
          <w:sz w:val="28"/>
        </w:rPr>
        <w:t>公司間有無</w:t>
      </w:r>
      <w:proofErr w:type="gramEnd"/>
      <w:r>
        <w:rPr>
          <w:rFonts w:ascii="標楷體" w:eastAsia="標楷體" w:hAnsi="標楷體"/>
          <w:sz w:val="28"/>
        </w:rPr>
        <w:t>證券商管理規則第二十六條所列情事；或屬於同一集團企業者：</w:t>
      </w:r>
    </w:p>
    <w:p w14:paraId="20CE91A5" w14:textId="77777777" w:rsidR="001158E3" w:rsidRDefault="00693FE7">
      <w:pPr>
        <w:pStyle w:val="a7"/>
        <w:snapToGrid w:val="0"/>
        <w:spacing w:line="240" w:lineRule="atLeast"/>
        <w:jc w:val="both"/>
      </w:pPr>
      <w:r>
        <w:rPr>
          <w:rFonts w:ascii="標楷體" w:eastAsia="標楷體" w:hAnsi="標楷體" w:cs="Wingdings"/>
          <w:sz w:val="28"/>
          <w:szCs w:val="28"/>
        </w:rPr>
        <w:t>□</w:t>
      </w:r>
      <w:r>
        <w:rPr>
          <w:rFonts w:eastAsia="標楷體"/>
          <w:sz w:val="28"/>
          <w:szCs w:val="28"/>
        </w:rPr>
        <w:t xml:space="preserve">無　</w:t>
      </w:r>
      <w:r>
        <w:rPr>
          <w:rFonts w:ascii="標楷體" w:eastAsia="標楷體" w:hAnsi="標楷體" w:cs="Wingdings"/>
          <w:sz w:val="28"/>
          <w:szCs w:val="28"/>
        </w:rPr>
        <w:t>□</w:t>
      </w:r>
      <w:r>
        <w:rPr>
          <w:rFonts w:eastAsia="標楷體"/>
          <w:sz w:val="28"/>
          <w:szCs w:val="28"/>
        </w:rPr>
        <w:t>有</w:t>
      </w:r>
      <w:r>
        <w:rPr>
          <w:rFonts w:eastAsia="標楷體"/>
        </w:rPr>
        <w:t xml:space="preserve">　　　　　　　　　　　　</w:t>
      </w:r>
    </w:p>
    <w:p w14:paraId="1CDDE168" w14:textId="77777777" w:rsidR="00BC6207" w:rsidRDefault="00BC6207">
      <w:pPr>
        <w:widowControl/>
        <w:suppressAutoHyphens w:val="0"/>
        <w:rPr>
          <w:rFonts w:ascii="標楷體" w:eastAsia="標楷體" w:hAnsi="標楷體"/>
        </w:rPr>
      </w:pPr>
      <w:r>
        <w:rPr>
          <w:rFonts w:ascii="標楷體" w:eastAsia="標楷體" w:hAnsi="標楷體"/>
        </w:rPr>
        <w:br w:type="page"/>
      </w:r>
    </w:p>
    <w:p w14:paraId="7CBDB763" w14:textId="629C2FAD" w:rsidR="001158E3" w:rsidRPr="00A97CBC" w:rsidRDefault="00693FE7" w:rsidP="00A97CBC">
      <w:pPr>
        <w:pStyle w:val="a7"/>
        <w:numPr>
          <w:ilvl w:val="0"/>
          <w:numId w:val="1"/>
        </w:numPr>
        <w:overflowPunct w:val="0"/>
        <w:snapToGrid w:val="0"/>
        <w:ind w:left="482" w:hanging="482"/>
        <w:jc w:val="both"/>
        <w:rPr>
          <w:rFonts w:ascii="標楷體" w:eastAsia="標楷體" w:hAnsi="標楷體"/>
          <w:szCs w:val="24"/>
        </w:rPr>
      </w:pPr>
      <w:r w:rsidRPr="00A97CBC">
        <w:rPr>
          <w:rFonts w:ascii="標楷體" w:eastAsia="標楷體" w:hAnsi="標楷體"/>
          <w:szCs w:val="24"/>
        </w:rPr>
        <w:lastRenderedPageBreak/>
        <w:t>評估報告總評</w:t>
      </w:r>
    </w:p>
    <w:p w14:paraId="15314AF3" w14:textId="77777777" w:rsidR="001158E3" w:rsidRPr="00A97CBC" w:rsidRDefault="00693FE7" w:rsidP="00A97CBC">
      <w:pPr>
        <w:pStyle w:val="a7"/>
        <w:numPr>
          <w:ilvl w:val="1"/>
          <w:numId w:val="1"/>
        </w:numPr>
        <w:overflowPunct w:val="0"/>
        <w:snapToGrid w:val="0"/>
        <w:ind w:left="709" w:hanging="482"/>
        <w:jc w:val="both"/>
        <w:rPr>
          <w:rFonts w:ascii="標楷體" w:eastAsia="標楷體" w:hAnsi="標楷體"/>
          <w:szCs w:val="24"/>
        </w:rPr>
      </w:pPr>
      <w:r w:rsidRPr="00A97CBC">
        <w:rPr>
          <w:rFonts w:ascii="標楷體" w:eastAsia="標楷體" w:hAnsi="標楷體"/>
          <w:szCs w:val="24"/>
        </w:rPr>
        <w:t>承銷總股數說明</w:t>
      </w:r>
    </w:p>
    <w:p w14:paraId="1F151B08" w14:textId="77777777" w:rsidR="001158E3" w:rsidRPr="00A97CBC" w:rsidRDefault="00693FE7" w:rsidP="00A97CBC">
      <w:pPr>
        <w:pStyle w:val="a7"/>
        <w:overflowPunct w:val="0"/>
        <w:snapToGrid w:val="0"/>
        <w:ind w:firstLine="14"/>
        <w:jc w:val="both"/>
        <w:rPr>
          <w:rFonts w:ascii="標楷體" w:eastAsia="標楷體" w:hAnsi="標楷體"/>
          <w:szCs w:val="24"/>
        </w:rPr>
      </w:pPr>
      <w:r w:rsidRPr="00A97CBC">
        <w:rPr>
          <w:rFonts w:ascii="標楷體" w:eastAsia="標楷體" w:hAnsi="標楷體"/>
          <w:szCs w:val="24"/>
        </w:rPr>
        <w:t xml:space="preserve">　　　　　　　　　　　　　　　　　　　　　　　　　　　　　　　　　　　　　　　　　　　　　　　　　　　　　　　　　　　　</w:t>
      </w:r>
    </w:p>
    <w:p w14:paraId="07BAB1B7" w14:textId="77777777" w:rsidR="001158E3" w:rsidRPr="00A97CBC" w:rsidRDefault="00693FE7" w:rsidP="00A97CBC">
      <w:pPr>
        <w:pStyle w:val="a7"/>
        <w:numPr>
          <w:ilvl w:val="1"/>
          <w:numId w:val="1"/>
        </w:numPr>
        <w:overflowPunct w:val="0"/>
        <w:snapToGrid w:val="0"/>
        <w:ind w:left="709" w:hanging="482"/>
        <w:jc w:val="both"/>
        <w:rPr>
          <w:rFonts w:ascii="標楷體" w:eastAsia="標楷體" w:hAnsi="標楷體"/>
          <w:szCs w:val="24"/>
        </w:rPr>
      </w:pPr>
      <w:r w:rsidRPr="00A97CBC">
        <w:rPr>
          <w:rFonts w:ascii="標楷體" w:eastAsia="標楷體" w:hAnsi="標楷體"/>
          <w:szCs w:val="24"/>
        </w:rPr>
        <w:t>具體說明申請公司與推薦證券商共同訂定承銷價格之依據及方式</w:t>
      </w:r>
    </w:p>
    <w:p w14:paraId="2040689D" w14:textId="77777777" w:rsidR="001158E3" w:rsidRPr="00A97CBC" w:rsidRDefault="00693FE7" w:rsidP="00A97CBC">
      <w:pPr>
        <w:pStyle w:val="a7"/>
        <w:numPr>
          <w:ilvl w:val="2"/>
          <w:numId w:val="1"/>
        </w:numPr>
        <w:overflowPunct w:val="0"/>
        <w:snapToGrid w:val="0"/>
        <w:ind w:left="993" w:hanging="284"/>
        <w:jc w:val="both"/>
        <w:rPr>
          <w:rFonts w:ascii="標楷體" w:eastAsia="標楷體" w:hAnsi="標楷體"/>
          <w:szCs w:val="24"/>
        </w:rPr>
      </w:pPr>
      <w:r w:rsidRPr="00A97CBC">
        <w:rPr>
          <w:rFonts w:ascii="標楷體" w:eastAsia="標楷體" w:hAnsi="標楷體"/>
          <w:szCs w:val="24"/>
        </w:rPr>
        <w:t>承銷價格訂定所採用的方法、原則或計算方式及與適用國際慣用之市場法、成本法及收益法之比較。</w:t>
      </w:r>
    </w:p>
    <w:p w14:paraId="61FA0C2D" w14:textId="77777777" w:rsidR="001158E3" w:rsidRPr="00A97CBC" w:rsidRDefault="00693FE7" w:rsidP="00A97CBC">
      <w:pPr>
        <w:pStyle w:val="a7"/>
        <w:numPr>
          <w:ilvl w:val="2"/>
          <w:numId w:val="1"/>
        </w:numPr>
        <w:overflowPunct w:val="0"/>
        <w:snapToGrid w:val="0"/>
        <w:ind w:left="993" w:hanging="284"/>
        <w:jc w:val="both"/>
        <w:rPr>
          <w:rFonts w:ascii="標楷體" w:eastAsia="標楷體" w:hAnsi="標楷體"/>
          <w:szCs w:val="24"/>
        </w:rPr>
      </w:pPr>
      <w:r w:rsidRPr="00A97CBC">
        <w:rPr>
          <w:rFonts w:ascii="標楷體" w:eastAsia="標楷體" w:hAnsi="標楷體"/>
          <w:szCs w:val="24"/>
        </w:rPr>
        <w:t>申請公司與已上市櫃同業之財務狀況、獲利情形及本益比之比較情形。</w:t>
      </w:r>
    </w:p>
    <w:p w14:paraId="50B1FC94" w14:textId="77777777" w:rsidR="001158E3" w:rsidRPr="00A97CBC" w:rsidRDefault="00693FE7" w:rsidP="00A97CBC">
      <w:pPr>
        <w:pStyle w:val="a7"/>
        <w:numPr>
          <w:ilvl w:val="2"/>
          <w:numId w:val="1"/>
        </w:numPr>
        <w:overflowPunct w:val="0"/>
        <w:snapToGrid w:val="0"/>
        <w:ind w:left="993" w:hanging="284"/>
        <w:jc w:val="both"/>
        <w:rPr>
          <w:rFonts w:ascii="標楷體" w:eastAsia="標楷體" w:hAnsi="標楷體"/>
          <w:szCs w:val="24"/>
        </w:rPr>
      </w:pPr>
      <w:r w:rsidRPr="00A97CBC">
        <w:rPr>
          <w:rFonts w:ascii="標楷體" w:eastAsia="標楷體" w:hAnsi="標楷體"/>
          <w:szCs w:val="24"/>
        </w:rPr>
        <w:t>所議定之</w:t>
      </w:r>
      <w:proofErr w:type="gramStart"/>
      <w:r w:rsidRPr="00A97CBC">
        <w:rPr>
          <w:rFonts w:ascii="標楷體" w:eastAsia="標楷體" w:hAnsi="標楷體"/>
          <w:szCs w:val="24"/>
        </w:rPr>
        <w:t>承銷價若參考</w:t>
      </w:r>
      <w:proofErr w:type="gramEnd"/>
      <w:r w:rsidRPr="00A97CBC">
        <w:rPr>
          <w:rFonts w:ascii="標楷體" w:eastAsia="標楷體" w:hAnsi="標楷體"/>
          <w:szCs w:val="24"/>
        </w:rPr>
        <w:t>財務專家意見或</w:t>
      </w:r>
      <w:proofErr w:type="gramStart"/>
      <w:r w:rsidRPr="00A97CBC">
        <w:rPr>
          <w:rFonts w:ascii="標楷體" w:eastAsia="標楷體" w:hAnsi="標楷體"/>
          <w:szCs w:val="24"/>
        </w:rPr>
        <w:t>鑑</w:t>
      </w:r>
      <w:proofErr w:type="gramEnd"/>
      <w:r w:rsidRPr="00A97CBC">
        <w:rPr>
          <w:rFonts w:ascii="標楷體" w:eastAsia="標楷體" w:hAnsi="標楷體"/>
          <w:szCs w:val="24"/>
        </w:rPr>
        <w:t>價機構之</w:t>
      </w:r>
      <w:proofErr w:type="gramStart"/>
      <w:r w:rsidRPr="00A97CBC">
        <w:rPr>
          <w:rFonts w:ascii="標楷體" w:eastAsia="標楷體" w:hAnsi="標楷體"/>
          <w:szCs w:val="24"/>
        </w:rPr>
        <w:t>鑑</w:t>
      </w:r>
      <w:proofErr w:type="gramEnd"/>
      <w:r w:rsidRPr="00A97CBC">
        <w:rPr>
          <w:rFonts w:ascii="標楷體" w:eastAsia="標楷體" w:hAnsi="標楷體"/>
          <w:szCs w:val="24"/>
        </w:rPr>
        <w:t>價報告者，應說明該專家意見或</w:t>
      </w:r>
      <w:proofErr w:type="gramStart"/>
      <w:r w:rsidRPr="00A97CBC">
        <w:rPr>
          <w:rFonts w:ascii="標楷體" w:eastAsia="標楷體" w:hAnsi="標楷體"/>
          <w:szCs w:val="24"/>
        </w:rPr>
        <w:t>鑑</w:t>
      </w:r>
      <w:proofErr w:type="gramEnd"/>
      <w:r w:rsidRPr="00A97CBC">
        <w:rPr>
          <w:rFonts w:ascii="標楷體" w:eastAsia="標楷體" w:hAnsi="標楷體"/>
          <w:szCs w:val="24"/>
        </w:rPr>
        <w:t>價報告內容及結論。</w:t>
      </w:r>
    </w:p>
    <w:p w14:paraId="573398A0" w14:textId="77777777" w:rsidR="001158E3" w:rsidRPr="00A97CBC" w:rsidRDefault="00693FE7" w:rsidP="00A97CBC">
      <w:pPr>
        <w:pStyle w:val="a7"/>
        <w:numPr>
          <w:ilvl w:val="2"/>
          <w:numId w:val="1"/>
        </w:numPr>
        <w:overflowPunct w:val="0"/>
        <w:snapToGrid w:val="0"/>
        <w:ind w:left="993" w:hanging="284"/>
        <w:jc w:val="both"/>
        <w:rPr>
          <w:rFonts w:ascii="標楷體" w:eastAsia="標楷體" w:hAnsi="標楷體"/>
          <w:szCs w:val="24"/>
        </w:rPr>
      </w:pPr>
      <w:r w:rsidRPr="00A97CBC">
        <w:rPr>
          <w:rFonts w:ascii="標楷體" w:eastAsia="標楷體" w:hAnsi="標楷體"/>
          <w:szCs w:val="24"/>
        </w:rPr>
        <w:t>申請公司</w:t>
      </w:r>
      <w:proofErr w:type="gramStart"/>
      <w:r w:rsidRPr="00A97CBC">
        <w:rPr>
          <w:rFonts w:ascii="標楷體" w:eastAsia="標楷體" w:hAnsi="標楷體"/>
          <w:szCs w:val="24"/>
        </w:rPr>
        <w:t>於興櫃市場</w:t>
      </w:r>
      <w:proofErr w:type="gramEnd"/>
      <w:r w:rsidRPr="00A97CBC">
        <w:rPr>
          <w:rFonts w:ascii="標楷體" w:eastAsia="標楷體" w:hAnsi="標楷體"/>
          <w:szCs w:val="24"/>
        </w:rPr>
        <w:t>掛牌之最近一個月平均股價及成交量資料。</w:t>
      </w:r>
    </w:p>
    <w:p w14:paraId="71730A50" w14:textId="77777777" w:rsidR="001158E3" w:rsidRPr="00A97CBC" w:rsidRDefault="00693FE7" w:rsidP="00A97CBC">
      <w:pPr>
        <w:pStyle w:val="a7"/>
        <w:numPr>
          <w:ilvl w:val="2"/>
          <w:numId w:val="1"/>
        </w:numPr>
        <w:overflowPunct w:val="0"/>
        <w:snapToGrid w:val="0"/>
        <w:ind w:left="993" w:hanging="284"/>
        <w:jc w:val="both"/>
        <w:rPr>
          <w:rFonts w:ascii="標楷體" w:eastAsia="標楷體" w:hAnsi="標楷體"/>
          <w:szCs w:val="24"/>
        </w:rPr>
      </w:pPr>
      <w:r w:rsidRPr="00A97CBC">
        <w:rPr>
          <w:rFonts w:ascii="標楷體" w:eastAsia="標楷體" w:hAnsi="標楷體"/>
          <w:szCs w:val="24"/>
        </w:rPr>
        <w:t>推薦證券商就其與申請公司所共同議定承銷價格合理性之評估意見。</w:t>
      </w:r>
    </w:p>
    <w:p w14:paraId="655F973F" w14:textId="77777777" w:rsidR="001158E3" w:rsidRPr="00A97CBC" w:rsidRDefault="001158E3" w:rsidP="00A97CBC">
      <w:pPr>
        <w:pStyle w:val="a7"/>
        <w:overflowPunct w:val="0"/>
        <w:snapToGrid w:val="0"/>
        <w:ind w:firstLine="14"/>
        <w:jc w:val="both"/>
        <w:rPr>
          <w:rFonts w:ascii="標楷體" w:eastAsia="標楷體" w:hAnsi="標楷體"/>
          <w:szCs w:val="24"/>
        </w:rPr>
      </w:pPr>
    </w:p>
    <w:p w14:paraId="1F3A3337" w14:textId="77777777" w:rsidR="001158E3" w:rsidRPr="00A97CBC" w:rsidRDefault="00693FE7" w:rsidP="00A97CBC">
      <w:pPr>
        <w:pStyle w:val="a7"/>
        <w:numPr>
          <w:ilvl w:val="1"/>
          <w:numId w:val="1"/>
        </w:numPr>
        <w:overflowPunct w:val="0"/>
        <w:snapToGrid w:val="0"/>
        <w:ind w:left="709" w:hanging="482"/>
        <w:jc w:val="both"/>
        <w:rPr>
          <w:rFonts w:ascii="標楷體" w:eastAsia="標楷體" w:hAnsi="標楷體"/>
          <w:szCs w:val="24"/>
        </w:rPr>
      </w:pPr>
      <w:r w:rsidRPr="00A97CBC">
        <w:rPr>
          <w:rFonts w:ascii="標楷體" w:eastAsia="標楷體" w:hAnsi="標楷體"/>
          <w:szCs w:val="24"/>
        </w:rPr>
        <w:t>承銷風險</w:t>
      </w:r>
      <w:proofErr w:type="gramStart"/>
      <w:r w:rsidRPr="00A97CBC">
        <w:rPr>
          <w:rFonts w:ascii="標楷體" w:eastAsia="標楷體" w:hAnsi="標楷體"/>
          <w:szCs w:val="24"/>
        </w:rPr>
        <w:t>因素－列示</w:t>
      </w:r>
      <w:proofErr w:type="gramEnd"/>
      <w:r w:rsidRPr="00A97CBC">
        <w:rPr>
          <w:rFonts w:ascii="標楷體" w:eastAsia="標楷體" w:hAnsi="標楷體"/>
          <w:szCs w:val="24"/>
        </w:rPr>
        <w:t>說明本次承銷相關風險（如股價變化過</w:t>
      </w:r>
      <w:proofErr w:type="gramStart"/>
      <w:r w:rsidRPr="00A97CBC">
        <w:rPr>
          <w:rFonts w:ascii="標楷體" w:eastAsia="標楷體" w:hAnsi="標楷體"/>
          <w:szCs w:val="24"/>
        </w:rPr>
        <w:t>鉅</w:t>
      </w:r>
      <w:proofErr w:type="gramEnd"/>
      <w:r w:rsidRPr="00A97CBC">
        <w:rPr>
          <w:rFonts w:ascii="標楷體" w:eastAsia="標楷體" w:hAnsi="標楷體"/>
          <w:szCs w:val="24"/>
        </w:rPr>
        <w:t xml:space="preserve">、穩定價格策略、本次承銷之相關費用及承銷手續費率、新股承銷導致股本膨脹稀釋獲利）。　　　　　　　　　　　　　　　　　　　　　　　　　　　　</w:t>
      </w:r>
    </w:p>
    <w:p w14:paraId="16CB8AF7" w14:textId="77777777" w:rsidR="001158E3" w:rsidRPr="00A97CBC" w:rsidRDefault="001158E3" w:rsidP="00A97CBC">
      <w:pPr>
        <w:pStyle w:val="a7"/>
        <w:overflowPunct w:val="0"/>
        <w:snapToGrid w:val="0"/>
        <w:jc w:val="both"/>
        <w:rPr>
          <w:rFonts w:ascii="標楷體" w:eastAsia="標楷體" w:hAnsi="標楷體"/>
          <w:szCs w:val="24"/>
        </w:rPr>
      </w:pPr>
    </w:p>
    <w:p w14:paraId="199EF23C" w14:textId="77777777" w:rsidR="001158E3" w:rsidRPr="00A97CBC" w:rsidRDefault="00693FE7" w:rsidP="00A97CBC">
      <w:pPr>
        <w:pStyle w:val="a7"/>
        <w:numPr>
          <w:ilvl w:val="1"/>
          <w:numId w:val="1"/>
        </w:numPr>
        <w:overflowPunct w:val="0"/>
        <w:snapToGrid w:val="0"/>
        <w:ind w:left="709" w:hanging="482"/>
        <w:jc w:val="both"/>
        <w:rPr>
          <w:rFonts w:ascii="標楷體" w:eastAsia="標楷體" w:hAnsi="標楷體"/>
          <w:szCs w:val="24"/>
        </w:rPr>
      </w:pPr>
      <w:r w:rsidRPr="00A97CBC">
        <w:rPr>
          <w:rFonts w:ascii="標楷體" w:eastAsia="標楷體" w:hAnsi="標楷體"/>
          <w:szCs w:val="24"/>
        </w:rPr>
        <w:t>總結</w:t>
      </w:r>
    </w:p>
    <w:p w14:paraId="01BFACBC" w14:textId="77777777" w:rsidR="001158E3" w:rsidRPr="00A97CBC" w:rsidRDefault="00693FE7" w:rsidP="00A97CBC">
      <w:pPr>
        <w:pStyle w:val="a7"/>
        <w:numPr>
          <w:ilvl w:val="2"/>
          <w:numId w:val="1"/>
        </w:numPr>
        <w:overflowPunct w:val="0"/>
        <w:snapToGrid w:val="0"/>
        <w:ind w:left="993" w:hanging="284"/>
        <w:jc w:val="both"/>
        <w:rPr>
          <w:rFonts w:ascii="標楷體" w:eastAsia="標楷體" w:hAnsi="標楷體"/>
          <w:szCs w:val="24"/>
        </w:rPr>
      </w:pPr>
      <w:r w:rsidRPr="00A97CBC">
        <w:rPr>
          <w:rFonts w:ascii="標楷體" w:eastAsia="標楷體" w:hAnsi="標楷體"/>
          <w:szCs w:val="24"/>
        </w:rPr>
        <w:t>推薦證券商依據本身評估結果及專家意見後（專家意見推薦證券商應自行評估是否能作為對申請公司整體風險之評估依據，必要時應加強評估項目），總結評估說明該申請公司之營運風險、財務風險及潛在風險等風險事項，作為是否推薦申請公司上櫃之依據。</w:t>
      </w:r>
    </w:p>
    <w:p w14:paraId="31525FF8" w14:textId="77777777" w:rsidR="001158E3" w:rsidRPr="00A97CBC" w:rsidRDefault="00693FE7" w:rsidP="00A97CBC">
      <w:pPr>
        <w:pStyle w:val="a7"/>
        <w:numPr>
          <w:ilvl w:val="2"/>
          <w:numId w:val="1"/>
        </w:numPr>
        <w:overflowPunct w:val="0"/>
        <w:snapToGrid w:val="0"/>
        <w:ind w:left="993" w:hanging="284"/>
        <w:jc w:val="both"/>
        <w:rPr>
          <w:rFonts w:ascii="標楷體" w:eastAsia="標楷體" w:hAnsi="標楷體"/>
          <w:szCs w:val="24"/>
        </w:rPr>
      </w:pPr>
      <w:r w:rsidRPr="00A97CBC">
        <w:rPr>
          <w:rFonts w:ascii="標楷體" w:eastAsia="標楷體" w:hAnsi="標楷體"/>
          <w:szCs w:val="24"/>
        </w:rPr>
        <w:t>推薦證券商就外國申請公司總結評估說明其風險事項時，並應列示其註冊地國及主要營運地國之總體經濟、政經環境變動及外匯管制，暨是否承認我國法院民事確定判決效力之情形等風險事項。</w:t>
      </w:r>
    </w:p>
    <w:p w14:paraId="4038855D" w14:textId="77777777" w:rsidR="001158E3" w:rsidRPr="00A97CBC" w:rsidRDefault="001158E3" w:rsidP="00A97CBC">
      <w:pPr>
        <w:pStyle w:val="a7"/>
        <w:overflowPunct w:val="0"/>
        <w:snapToGrid w:val="0"/>
        <w:ind w:firstLine="14"/>
        <w:jc w:val="both"/>
        <w:rPr>
          <w:rFonts w:ascii="標楷體" w:eastAsia="標楷體" w:hAnsi="標楷體"/>
          <w:szCs w:val="24"/>
        </w:rPr>
      </w:pPr>
    </w:p>
    <w:p w14:paraId="53610A37" w14:textId="77777777" w:rsidR="001158E3" w:rsidRPr="00A97CBC" w:rsidRDefault="00693FE7" w:rsidP="00A97CBC">
      <w:pPr>
        <w:pStyle w:val="a7"/>
        <w:numPr>
          <w:ilvl w:val="0"/>
          <w:numId w:val="1"/>
        </w:numPr>
        <w:overflowPunct w:val="0"/>
        <w:snapToGrid w:val="0"/>
        <w:ind w:left="482" w:hanging="482"/>
        <w:jc w:val="both"/>
        <w:rPr>
          <w:rFonts w:ascii="標楷體" w:eastAsia="標楷體" w:hAnsi="標楷體"/>
          <w:szCs w:val="24"/>
        </w:rPr>
      </w:pPr>
      <w:r w:rsidRPr="00A97CBC">
        <w:rPr>
          <w:rFonts w:ascii="標楷體" w:eastAsia="標楷體" w:hAnsi="標楷體"/>
          <w:szCs w:val="24"/>
        </w:rPr>
        <w:t>推薦證券商就外國申請公司應列示說明其註冊地國及主要營運地國之總體經濟、政經環境變動、相關法令、外匯管制及租稅，暨是否承認我國法院民事確定判決效力之情形等風險事項，並評估外國申請公司所</w:t>
      </w:r>
      <w:proofErr w:type="gramStart"/>
      <w:r w:rsidRPr="00A97CBC">
        <w:rPr>
          <w:rFonts w:ascii="標楷體" w:eastAsia="標楷體" w:hAnsi="標楷體"/>
          <w:szCs w:val="24"/>
        </w:rPr>
        <w:t>採</w:t>
      </w:r>
      <w:proofErr w:type="gramEnd"/>
      <w:r w:rsidRPr="00A97CBC">
        <w:rPr>
          <w:rFonts w:ascii="標楷體" w:eastAsia="標楷體" w:hAnsi="標楷體"/>
          <w:szCs w:val="24"/>
        </w:rPr>
        <w:t>行相關因應措施之適當性。</w:t>
      </w:r>
    </w:p>
    <w:p w14:paraId="4CD1BA1E" w14:textId="77777777" w:rsidR="001158E3" w:rsidRPr="00A97CBC" w:rsidRDefault="001158E3" w:rsidP="00A97CBC">
      <w:pPr>
        <w:pStyle w:val="a7"/>
        <w:tabs>
          <w:tab w:val="left" w:pos="7320"/>
        </w:tabs>
        <w:overflowPunct w:val="0"/>
        <w:snapToGrid w:val="0"/>
        <w:ind w:left="720" w:hanging="720"/>
        <w:jc w:val="both"/>
        <w:rPr>
          <w:rFonts w:ascii="標楷體" w:eastAsia="標楷體" w:hAnsi="標楷體"/>
          <w:szCs w:val="24"/>
        </w:rPr>
      </w:pPr>
    </w:p>
    <w:p w14:paraId="24DDFE72" w14:textId="77777777" w:rsidR="001158E3" w:rsidRPr="00A97CBC" w:rsidRDefault="00693FE7" w:rsidP="00A97CBC">
      <w:pPr>
        <w:pStyle w:val="a7"/>
        <w:numPr>
          <w:ilvl w:val="0"/>
          <w:numId w:val="1"/>
        </w:numPr>
        <w:overflowPunct w:val="0"/>
        <w:snapToGrid w:val="0"/>
        <w:ind w:left="482" w:hanging="482"/>
        <w:jc w:val="both"/>
        <w:rPr>
          <w:rFonts w:ascii="標楷體" w:eastAsia="標楷體" w:hAnsi="標楷體"/>
          <w:szCs w:val="24"/>
        </w:rPr>
      </w:pPr>
      <w:r w:rsidRPr="00A97CBC">
        <w:rPr>
          <w:rFonts w:ascii="標楷體" w:eastAsia="標楷體" w:hAnsi="標楷體"/>
          <w:szCs w:val="24"/>
        </w:rPr>
        <w:t>產業狀況及營運風險</w:t>
      </w:r>
    </w:p>
    <w:p w14:paraId="73772451" w14:textId="77777777" w:rsidR="001158E3" w:rsidRPr="00A97CBC" w:rsidRDefault="00693FE7" w:rsidP="00A97CBC">
      <w:pPr>
        <w:pStyle w:val="a7"/>
        <w:numPr>
          <w:ilvl w:val="1"/>
          <w:numId w:val="1"/>
        </w:numPr>
        <w:overflowPunct w:val="0"/>
        <w:snapToGrid w:val="0"/>
        <w:ind w:left="709" w:hanging="482"/>
        <w:jc w:val="both"/>
        <w:rPr>
          <w:rFonts w:ascii="標楷體" w:eastAsia="標楷體" w:hAnsi="標楷體"/>
          <w:szCs w:val="24"/>
        </w:rPr>
      </w:pPr>
      <w:r w:rsidRPr="00A97CBC">
        <w:rPr>
          <w:rFonts w:ascii="標楷體" w:eastAsia="標楷體" w:hAnsi="標楷體"/>
          <w:szCs w:val="24"/>
        </w:rPr>
        <w:t>申請公司所屬行業營運</w:t>
      </w:r>
      <w:proofErr w:type="gramStart"/>
      <w:r w:rsidRPr="00A97CBC">
        <w:rPr>
          <w:rFonts w:ascii="標楷體" w:eastAsia="標楷體" w:hAnsi="標楷體"/>
          <w:szCs w:val="24"/>
        </w:rPr>
        <w:t>風險－應考量</w:t>
      </w:r>
      <w:proofErr w:type="gramEnd"/>
      <w:r w:rsidRPr="00A97CBC">
        <w:rPr>
          <w:rFonts w:ascii="標楷體" w:eastAsia="標楷體" w:hAnsi="標楷體"/>
          <w:szCs w:val="24"/>
        </w:rPr>
        <w:t>總體經濟，就申請公司所屬行業之營運風險（如景氣循環、行業上下游變化、行業未來發展及產品可替代性等營運風險）列示說明。</w:t>
      </w:r>
    </w:p>
    <w:p w14:paraId="3CB92D83" w14:textId="77777777" w:rsidR="001158E3" w:rsidRPr="00A97CBC" w:rsidRDefault="001158E3" w:rsidP="00A97CBC">
      <w:pPr>
        <w:pStyle w:val="a7"/>
        <w:overflowPunct w:val="0"/>
        <w:snapToGrid w:val="0"/>
        <w:ind w:firstLine="14"/>
        <w:jc w:val="both"/>
        <w:rPr>
          <w:rFonts w:ascii="標楷體" w:eastAsia="標楷體" w:hAnsi="標楷體"/>
          <w:szCs w:val="24"/>
        </w:rPr>
      </w:pPr>
    </w:p>
    <w:p w14:paraId="2713DE9F" w14:textId="77777777" w:rsidR="001158E3" w:rsidRPr="00A97CBC" w:rsidRDefault="00693FE7" w:rsidP="00A97CBC">
      <w:pPr>
        <w:pStyle w:val="a7"/>
        <w:numPr>
          <w:ilvl w:val="1"/>
          <w:numId w:val="1"/>
        </w:numPr>
        <w:overflowPunct w:val="0"/>
        <w:snapToGrid w:val="0"/>
        <w:ind w:left="709" w:hanging="482"/>
        <w:jc w:val="both"/>
        <w:rPr>
          <w:rFonts w:ascii="標楷體" w:eastAsia="標楷體" w:hAnsi="標楷體"/>
          <w:szCs w:val="24"/>
        </w:rPr>
      </w:pPr>
      <w:r w:rsidRPr="00A97CBC">
        <w:rPr>
          <w:rFonts w:ascii="標楷體" w:eastAsia="標楷體" w:hAnsi="標楷體"/>
          <w:szCs w:val="24"/>
        </w:rPr>
        <w:t xml:space="preserve">申請公司營運風險－推薦證券商就申請公司之業務、技術能力、研發、專利權、人力資源、財務（包括成本、匯率變動等）等之營運風險列示說明。     　　　　　　　　　　　　　　　　　　　　　　　　　　　</w:t>
      </w:r>
    </w:p>
    <w:p w14:paraId="4050400B" w14:textId="77777777" w:rsidR="001158E3" w:rsidRPr="00A97CBC" w:rsidRDefault="001158E3" w:rsidP="00A97CBC">
      <w:pPr>
        <w:pStyle w:val="a7"/>
        <w:overflowPunct w:val="0"/>
        <w:snapToGrid w:val="0"/>
        <w:jc w:val="both"/>
        <w:rPr>
          <w:rFonts w:ascii="標楷體" w:eastAsia="標楷體" w:hAnsi="標楷體"/>
          <w:szCs w:val="24"/>
        </w:rPr>
      </w:pPr>
    </w:p>
    <w:p w14:paraId="61B5CE5F" w14:textId="77777777" w:rsidR="001158E3" w:rsidRPr="00A97CBC" w:rsidRDefault="00693FE7" w:rsidP="00A97CBC">
      <w:pPr>
        <w:pStyle w:val="a7"/>
        <w:numPr>
          <w:ilvl w:val="1"/>
          <w:numId w:val="1"/>
        </w:numPr>
        <w:overflowPunct w:val="0"/>
        <w:snapToGrid w:val="0"/>
        <w:ind w:left="709" w:hanging="482"/>
        <w:jc w:val="both"/>
        <w:rPr>
          <w:rFonts w:ascii="標楷體" w:eastAsia="標楷體" w:hAnsi="標楷體"/>
          <w:szCs w:val="24"/>
        </w:rPr>
      </w:pPr>
      <w:r w:rsidRPr="00A97CBC">
        <w:rPr>
          <w:rFonts w:ascii="標楷體" w:eastAsia="標楷體" w:hAnsi="標楷體"/>
          <w:szCs w:val="24"/>
        </w:rPr>
        <w:t>以科技事業、文化創意事業或依「淨值、營業收入及營業活動現金流量」標準申請上櫃者，另應增加列示說明下列事項：</w:t>
      </w:r>
    </w:p>
    <w:p w14:paraId="16BAED54" w14:textId="77777777" w:rsidR="001158E3" w:rsidRPr="00A97CBC" w:rsidRDefault="00693FE7" w:rsidP="00A97CBC">
      <w:pPr>
        <w:pStyle w:val="a7"/>
        <w:numPr>
          <w:ilvl w:val="2"/>
          <w:numId w:val="1"/>
        </w:numPr>
        <w:overflowPunct w:val="0"/>
        <w:snapToGrid w:val="0"/>
        <w:ind w:left="993" w:hanging="284"/>
        <w:jc w:val="both"/>
        <w:rPr>
          <w:rFonts w:ascii="標楷體" w:eastAsia="標楷體" w:hAnsi="標楷體"/>
          <w:szCs w:val="24"/>
        </w:rPr>
      </w:pPr>
      <w:r w:rsidRPr="00A97CBC">
        <w:rPr>
          <w:rFonts w:ascii="標楷體" w:eastAsia="標楷體" w:hAnsi="標楷體"/>
          <w:szCs w:val="24"/>
        </w:rPr>
        <w:t>就其產品生產開發技術之層次、來源、確保與提升，暨現在主要產品之競爭價勢、生命週期、持績</w:t>
      </w:r>
      <w:proofErr w:type="gramStart"/>
      <w:r w:rsidRPr="00A97CBC">
        <w:rPr>
          <w:rFonts w:ascii="標楷體" w:eastAsia="標楷體" w:hAnsi="標楷體"/>
          <w:szCs w:val="24"/>
        </w:rPr>
        <w:t>發展性暨新產品</w:t>
      </w:r>
      <w:proofErr w:type="gramEnd"/>
      <w:r w:rsidRPr="00A97CBC">
        <w:rPr>
          <w:rFonts w:ascii="標楷體" w:eastAsia="標楷體" w:hAnsi="標楷體"/>
          <w:szCs w:val="24"/>
        </w:rPr>
        <w:t>之研究開發計劃，預計生產時程及成本、市場定位、需求與未來營收效益預測達成可能性及研究發展之內部控制暨保全措施加以評估。</w:t>
      </w:r>
    </w:p>
    <w:p w14:paraId="1C2F68B0" w14:textId="4CC9640C" w:rsidR="001158E3" w:rsidRPr="00A97CBC" w:rsidRDefault="00693FE7" w:rsidP="00A97CBC">
      <w:pPr>
        <w:pStyle w:val="a7"/>
        <w:numPr>
          <w:ilvl w:val="2"/>
          <w:numId w:val="1"/>
        </w:numPr>
        <w:overflowPunct w:val="0"/>
        <w:snapToGrid w:val="0"/>
        <w:ind w:left="993" w:hanging="284"/>
        <w:jc w:val="both"/>
        <w:rPr>
          <w:szCs w:val="24"/>
        </w:rPr>
      </w:pPr>
      <w:r w:rsidRPr="00A97CBC">
        <w:rPr>
          <w:rFonts w:ascii="標楷體" w:eastAsia="標楷體" w:hAnsi="標楷體"/>
          <w:szCs w:val="24"/>
        </w:rPr>
        <w:t>其參與經營決策之董事、持股超過股份總額百分之五之股東、以專利權或專門技術出資之股東及掌握生產技術與技術開發經理人等之資歷(工作經驗、教育</w:t>
      </w:r>
      <w:r w:rsidRPr="00A97CBC">
        <w:rPr>
          <w:rFonts w:ascii="標楷體" w:eastAsia="標楷體" w:hAnsi="標楷體"/>
          <w:szCs w:val="24"/>
        </w:rPr>
        <w:lastRenderedPageBreak/>
        <w:t>背景及職位年資)、持股比例、最近</w:t>
      </w:r>
      <w:proofErr w:type="gramStart"/>
      <w:r w:rsidRPr="00A97CBC">
        <w:rPr>
          <w:rFonts w:ascii="標楷體" w:eastAsia="標楷體" w:hAnsi="標楷體"/>
          <w:szCs w:val="24"/>
        </w:rPr>
        <w:t>三</w:t>
      </w:r>
      <w:proofErr w:type="gramEnd"/>
      <w:r w:rsidRPr="00A97CBC">
        <w:rPr>
          <w:rFonts w:ascii="標楷體" w:eastAsia="標楷體" w:hAnsi="標楷體"/>
          <w:szCs w:val="24"/>
        </w:rPr>
        <w:t>年度及申請年度內股權移轉變化情形暨該技術股東與經理人實際投入經營之時間與情形，並評估該等人員未來若未能繼續參與經營對申請公司財務業務之影響及其因應之措施。</w:t>
      </w:r>
    </w:p>
    <w:p w14:paraId="61CFF21D" w14:textId="77777777" w:rsidR="001158E3" w:rsidRPr="00A97CBC" w:rsidRDefault="001158E3" w:rsidP="00A97CBC">
      <w:pPr>
        <w:pStyle w:val="a7"/>
        <w:overflowPunct w:val="0"/>
        <w:snapToGrid w:val="0"/>
        <w:jc w:val="both"/>
        <w:rPr>
          <w:rFonts w:ascii="標楷體" w:eastAsia="標楷體" w:hAnsi="標楷體"/>
          <w:szCs w:val="24"/>
        </w:rPr>
      </w:pPr>
    </w:p>
    <w:p w14:paraId="01883C00" w14:textId="77777777" w:rsidR="001158E3" w:rsidRPr="00A97CBC" w:rsidRDefault="00693FE7" w:rsidP="00A97CBC">
      <w:pPr>
        <w:pStyle w:val="a7"/>
        <w:numPr>
          <w:ilvl w:val="0"/>
          <w:numId w:val="1"/>
        </w:numPr>
        <w:overflowPunct w:val="0"/>
        <w:snapToGrid w:val="0"/>
        <w:ind w:left="482" w:hanging="482"/>
        <w:jc w:val="both"/>
        <w:rPr>
          <w:rFonts w:ascii="標楷體" w:eastAsia="標楷體" w:hAnsi="標楷體"/>
          <w:szCs w:val="24"/>
        </w:rPr>
      </w:pPr>
      <w:r w:rsidRPr="00A97CBC">
        <w:rPr>
          <w:rFonts w:ascii="標楷體" w:eastAsia="標楷體" w:hAnsi="標楷體"/>
          <w:szCs w:val="24"/>
        </w:rPr>
        <w:t>業務狀況</w:t>
      </w:r>
    </w:p>
    <w:p w14:paraId="627269F8" w14:textId="77777777" w:rsidR="001158E3" w:rsidRPr="00A97CBC" w:rsidRDefault="00693FE7" w:rsidP="00A97CBC">
      <w:pPr>
        <w:pStyle w:val="a7"/>
        <w:numPr>
          <w:ilvl w:val="1"/>
          <w:numId w:val="1"/>
        </w:numPr>
        <w:overflowPunct w:val="0"/>
        <w:snapToGrid w:val="0"/>
        <w:ind w:left="709" w:hanging="482"/>
        <w:jc w:val="both"/>
        <w:rPr>
          <w:rFonts w:ascii="標楷體" w:eastAsia="標楷體" w:hAnsi="標楷體"/>
          <w:szCs w:val="24"/>
        </w:rPr>
      </w:pPr>
      <w:r w:rsidRPr="00A97CBC">
        <w:rPr>
          <w:rFonts w:ascii="標楷體" w:eastAsia="標楷體" w:hAnsi="標楷體"/>
          <w:szCs w:val="24"/>
        </w:rPr>
        <w:t>營業概況</w:t>
      </w:r>
    </w:p>
    <w:p w14:paraId="5A58421C" w14:textId="77777777" w:rsidR="001158E3" w:rsidRPr="00A97CBC" w:rsidRDefault="00693FE7" w:rsidP="00A97CBC">
      <w:pPr>
        <w:pStyle w:val="a7"/>
        <w:numPr>
          <w:ilvl w:val="2"/>
          <w:numId w:val="1"/>
        </w:numPr>
        <w:overflowPunct w:val="0"/>
        <w:snapToGrid w:val="0"/>
        <w:ind w:left="993" w:hanging="284"/>
        <w:jc w:val="both"/>
        <w:rPr>
          <w:szCs w:val="24"/>
        </w:rPr>
      </w:pPr>
      <w:r w:rsidRPr="00A97CBC">
        <w:rPr>
          <w:rFonts w:ascii="標楷體" w:eastAsia="標楷體" w:hAnsi="標楷體"/>
          <w:szCs w:val="24"/>
        </w:rPr>
        <w:t>申請公司最近</w:t>
      </w:r>
      <w:proofErr w:type="gramStart"/>
      <w:r w:rsidRPr="00A97CBC">
        <w:rPr>
          <w:rFonts w:ascii="標楷體" w:eastAsia="標楷體" w:hAnsi="標楷體"/>
          <w:szCs w:val="24"/>
        </w:rPr>
        <w:t>三</w:t>
      </w:r>
      <w:proofErr w:type="gramEnd"/>
      <w:r w:rsidRPr="00A97CBC">
        <w:rPr>
          <w:rFonts w:ascii="標楷體" w:eastAsia="標楷體" w:hAnsi="標楷體"/>
          <w:szCs w:val="24"/>
        </w:rPr>
        <w:t>年度及申請年度截至最近期</w:t>
      </w:r>
      <w:proofErr w:type="gramStart"/>
      <w:r w:rsidRPr="00A97CBC">
        <w:rPr>
          <w:rFonts w:ascii="標楷體" w:eastAsia="標楷體" w:hAnsi="標楷體"/>
          <w:szCs w:val="24"/>
        </w:rPr>
        <w:t>止</w:t>
      </w:r>
      <w:proofErr w:type="gramEnd"/>
      <w:r w:rsidRPr="00A97CBC">
        <w:rPr>
          <w:rFonts w:ascii="標楷體" w:eastAsia="標楷體" w:hAnsi="標楷體"/>
          <w:szCs w:val="24"/>
        </w:rPr>
        <w:t>主要銷售對象及供應商（年度前10名或</w:t>
      </w:r>
      <w:proofErr w:type="gramStart"/>
      <w:r w:rsidRPr="00A97CBC">
        <w:rPr>
          <w:rFonts w:ascii="標楷體" w:eastAsia="標楷體" w:hAnsi="標楷體"/>
          <w:szCs w:val="24"/>
        </w:rPr>
        <w:t>佔</w:t>
      </w:r>
      <w:proofErr w:type="gramEnd"/>
      <w:r w:rsidRPr="00A97CBC">
        <w:rPr>
          <w:rFonts w:ascii="標楷體" w:eastAsia="標楷體" w:hAnsi="標楷體"/>
          <w:szCs w:val="24"/>
        </w:rPr>
        <w:t>年度營業收入淨額或進貨淨額5%以上者）之變化分析-應列明最近</w:t>
      </w:r>
      <w:proofErr w:type="gramStart"/>
      <w:r w:rsidRPr="00A97CBC">
        <w:rPr>
          <w:rFonts w:ascii="標楷體" w:eastAsia="標楷體" w:hAnsi="標楷體"/>
          <w:szCs w:val="24"/>
        </w:rPr>
        <w:t>三</w:t>
      </w:r>
      <w:proofErr w:type="gramEnd"/>
      <w:r w:rsidRPr="00A97CBC">
        <w:rPr>
          <w:rFonts w:ascii="標楷體" w:eastAsia="標楷體" w:hAnsi="標楷體"/>
          <w:szCs w:val="24"/>
        </w:rPr>
        <w:t>年度及申請年度截至最近期</w:t>
      </w:r>
      <w:proofErr w:type="gramStart"/>
      <w:r w:rsidRPr="00A97CBC">
        <w:rPr>
          <w:rFonts w:ascii="標楷體" w:eastAsia="標楷體" w:hAnsi="標楷體"/>
          <w:szCs w:val="24"/>
        </w:rPr>
        <w:t>止</w:t>
      </w:r>
      <w:proofErr w:type="gramEnd"/>
      <w:r w:rsidRPr="00A97CBC">
        <w:rPr>
          <w:rFonts w:ascii="標楷體" w:eastAsia="標楷體" w:hAnsi="標楷體"/>
          <w:szCs w:val="24"/>
        </w:rPr>
        <w:t>主要銷售對象之名稱、金額及</w:t>
      </w:r>
      <w:proofErr w:type="gramStart"/>
      <w:r w:rsidRPr="00A97CBC">
        <w:rPr>
          <w:rFonts w:ascii="標楷體" w:eastAsia="標楷體" w:hAnsi="標楷體"/>
          <w:szCs w:val="24"/>
        </w:rPr>
        <w:t>佔</w:t>
      </w:r>
      <w:proofErr w:type="gramEnd"/>
      <w:r w:rsidRPr="00A97CBC">
        <w:rPr>
          <w:rFonts w:ascii="標楷體" w:eastAsia="標楷體" w:hAnsi="標楷體"/>
          <w:szCs w:val="24"/>
        </w:rPr>
        <w:t>年度營業收入比例，主要銷售對象、價格及條件之變化原因並分析是否合理，是否有銷售集中之風險，並簡述申請公司之銷售政策；最近</w:t>
      </w:r>
      <w:proofErr w:type="gramStart"/>
      <w:r w:rsidRPr="00A97CBC">
        <w:rPr>
          <w:rFonts w:ascii="標楷體" w:eastAsia="標楷體" w:hAnsi="標楷體"/>
          <w:szCs w:val="24"/>
        </w:rPr>
        <w:t>三</w:t>
      </w:r>
      <w:proofErr w:type="gramEnd"/>
      <w:r w:rsidRPr="00A97CBC">
        <w:rPr>
          <w:rFonts w:ascii="標楷體" w:eastAsia="標楷體" w:hAnsi="標楷體"/>
          <w:szCs w:val="24"/>
        </w:rPr>
        <w:t>年度及申請年度截至最近期止各主要供應商名稱、進貨淨額</w:t>
      </w:r>
      <w:proofErr w:type="gramStart"/>
      <w:r w:rsidRPr="00A97CBC">
        <w:rPr>
          <w:rFonts w:ascii="標楷體" w:eastAsia="標楷體" w:hAnsi="標楷體"/>
          <w:szCs w:val="24"/>
        </w:rPr>
        <w:t>佔</w:t>
      </w:r>
      <w:proofErr w:type="gramEnd"/>
      <w:r w:rsidRPr="00A97CBC">
        <w:rPr>
          <w:rFonts w:ascii="標楷體" w:eastAsia="標楷體" w:hAnsi="標楷體"/>
          <w:szCs w:val="24"/>
        </w:rPr>
        <w:t>當年度進貨淨額百分比及其金額，分析最近</w:t>
      </w:r>
      <w:proofErr w:type="gramStart"/>
      <w:r w:rsidRPr="00A97CBC">
        <w:rPr>
          <w:rFonts w:ascii="標楷體" w:eastAsia="標楷體" w:hAnsi="標楷體"/>
          <w:szCs w:val="24"/>
        </w:rPr>
        <w:t>三</w:t>
      </w:r>
      <w:proofErr w:type="gramEnd"/>
      <w:r w:rsidRPr="00A97CBC">
        <w:rPr>
          <w:rFonts w:ascii="標楷體" w:eastAsia="標楷體" w:hAnsi="標楷體"/>
          <w:szCs w:val="24"/>
        </w:rPr>
        <w:t>年度及申請年度截至最近期</w:t>
      </w:r>
      <w:proofErr w:type="gramStart"/>
      <w:r w:rsidRPr="00A97CBC">
        <w:rPr>
          <w:rFonts w:ascii="標楷體" w:eastAsia="標楷體" w:hAnsi="標楷體"/>
          <w:szCs w:val="24"/>
        </w:rPr>
        <w:t>止</w:t>
      </w:r>
      <w:proofErr w:type="gramEnd"/>
      <w:r w:rsidRPr="00A97CBC">
        <w:rPr>
          <w:rFonts w:ascii="標楷體" w:eastAsia="標楷體" w:hAnsi="標楷體"/>
          <w:szCs w:val="24"/>
        </w:rPr>
        <w:t>主要供應商名稱、價格及條件之變化原因是否合理，是否有進貨集中之風險，並簡述</w:t>
      </w:r>
      <w:r w:rsidRPr="00A97CBC">
        <w:rPr>
          <w:rFonts w:ascii="標楷體" w:eastAsia="標楷體" w:hAnsi="標楷體"/>
          <w:kern w:val="0"/>
          <w:szCs w:val="24"/>
        </w:rPr>
        <w:t>申請</w:t>
      </w:r>
      <w:r w:rsidRPr="00A97CBC">
        <w:rPr>
          <w:rFonts w:ascii="標楷體" w:eastAsia="標楷體" w:hAnsi="標楷體"/>
          <w:szCs w:val="24"/>
        </w:rPr>
        <w:t>公司之進貨政策。</w:t>
      </w:r>
    </w:p>
    <w:p w14:paraId="06ED0A83" w14:textId="650FFDA5" w:rsidR="001158E3" w:rsidRPr="00A97CBC" w:rsidRDefault="00693FE7" w:rsidP="00A97CBC">
      <w:pPr>
        <w:pStyle w:val="a7"/>
        <w:numPr>
          <w:ilvl w:val="2"/>
          <w:numId w:val="1"/>
        </w:numPr>
        <w:overflowPunct w:val="0"/>
        <w:snapToGrid w:val="0"/>
        <w:ind w:left="993" w:hanging="284"/>
        <w:jc w:val="both"/>
        <w:rPr>
          <w:szCs w:val="24"/>
        </w:rPr>
      </w:pPr>
      <w:r w:rsidRPr="00A97CBC">
        <w:rPr>
          <w:rFonts w:ascii="標楷體" w:eastAsia="標楷體" w:hAnsi="標楷體"/>
          <w:szCs w:val="24"/>
        </w:rPr>
        <w:t>申請公司最近</w:t>
      </w:r>
      <w:proofErr w:type="gramStart"/>
      <w:r w:rsidRPr="00A97CBC">
        <w:rPr>
          <w:rFonts w:ascii="標楷體" w:eastAsia="標楷體" w:hAnsi="標楷體"/>
          <w:szCs w:val="24"/>
        </w:rPr>
        <w:t>二</w:t>
      </w:r>
      <w:proofErr w:type="gramEnd"/>
      <w:r w:rsidRPr="00A97CBC">
        <w:rPr>
          <w:rFonts w:ascii="標楷體" w:eastAsia="標楷體" w:hAnsi="標楷體"/>
          <w:szCs w:val="24"/>
        </w:rPr>
        <w:t>年度及申請年度截至最近期</w:t>
      </w:r>
      <w:proofErr w:type="gramStart"/>
      <w:r w:rsidRPr="00A97CBC">
        <w:rPr>
          <w:rFonts w:ascii="標楷體" w:eastAsia="標楷體" w:hAnsi="標楷體"/>
          <w:szCs w:val="24"/>
        </w:rPr>
        <w:t>止</w:t>
      </w:r>
      <w:proofErr w:type="gramEnd"/>
      <w:r w:rsidRPr="00A97CBC">
        <w:rPr>
          <w:rFonts w:ascii="標楷體" w:eastAsia="標楷體" w:hAnsi="標楷體"/>
          <w:szCs w:val="24"/>
        </w:rPr>
        <w:t>財務報告應收款項變動合理性、備抵損失</w:t>
      </w:r>
      <w:proofErr w:type="gramStart"/>
      <w:r w:rsidRPr="00A97CBC">
        <w:rPr>
          <w:rFonts w:ascii="標楷體" w:eastAsia="標楷體" w:hAnsi="標楷體"/>
          <w:szCs w:val="24"/>
        </w:rPr>
        <w:t>提列適足</w:t>
      </w:r>
      <w:proofErr w:type="gramEnd"/>
      <w:r w:rsidRPr="00A97CBC">
        <w:rPr>
          <w:rFonts w:ascii="標楷體" w:eastAsia="標楷體" w:hAnsi="標楷體"/>
          <w:szCs w:val="24"/>
        </w:rPr>
        <w:t xml:space="preserve">性及收回可能性之評估，並與同業比較評估。　　　</w:t>
      </w:r>
    </w:p>
    <w:p w14:paraId="4EB8EB00" w14:textId="77777777" w:rsidR="001158E3" w:rsidRPr="00A97CBC" w:rsidRDefault="001158E3" w:rsidP="00A97CBC">
      <w:pPr>
        <w:pStyle w:val="a7"/>
        <w:overflowPunct w:val="0"/>
        <w:snapToGrid w:val="0"/>
        <w:ind w:left="709"/>
        <w:jc w:val="both"/>
        <w:rPr>
          <w:rFonts w:ascii="標楷體" w:eastAsia="標楷體" w:hAnsi="標楷體"/>
          <w:szCs w:val="24"/>
        </w:rPr>
      </w:pPr>
    </w:p>
    <w:p w14:paraId="271C4DAC" w14:textId="77777777" w:rsidR="001158E3" w:rsidRPr="00A97CBC" w:rsidRDefault="00693FE7" w:rsidP="00A97CBC">
      <w:pPr>
        <w:pStyle w:val="a7"/>
        <w:numPr>
          <w:ilvl w:val="1"/>
          <w:numId w:val="1"/>
        </w:numPr>
        <w:overflowPunct w:val="0"/>
        <w:snapToGrid w:val="0"/>
        <w:ind w:left="709" w:hanging="482"/>
        <w:jc w:val="both"/>
        <w:rPr>
          <w:rFonts w:ascii="標楷體" w:eastAsia="標楷體" w:hAnsi="標楷體"/>
          <w:szCs w:val="24"/>
        </w:rPr>
      </w:pPr>
      <w:r w:rsidRPr="00A97CBC">
        <w:rPr>
          <w:rFonts w:ascii="標楷體" w:eastAsia="標楷體" w:hAnsi="標楷體"/>
          <w:szCs w:val="24"/>
        </w:rPr>
        <w:t>存貨概況－申請公司最近</w:t>
      </w:r>
      <w:proofErr w:type="gramStart"/>
      <w:r w:rsidRPr="00A97CBC">
        <w:rPr>
          <w:rFonts w:ascii="標楷體" w:eastAsia="標楷體" w:hAnsi="標楷體"/>
          <w:szCs w:val="24"/>
        </w:rPr>
        <w:t>二</w:t>
      </w:r>
      <w:proofErr w:type="gramEnd"/>
      <w:r w:rsidRPr="00A97CBC">
        <w:rPr>
          <w:rFonts w:ascii="標楷體" w:eastAsia="標楷體" w:hAnsi="標楷體"/>
          <w:szCs w:val="24"/>
        </w:rPr>
        <w:t>年度及申請年度截至最近期</w:t>
      </w:r>
      <w:proofErr w:type="gramStart"/>
      <w:r w:rsidRPr="00A97CBC">
        <w:rPr>
          <w:rFonts w:ascii="標楷體" w:eastAsia="標楷體" w:hAnsi="標楷體"/>
          <w:szCs w:val="24"/>
        </w:rPr>
        <w:t>止</w:t>
      </w:r>
      <w:proofErr w:type="gramEnd"/>
      <w:r w:rsidRPr="00A97CBC">
        <w:rPr>
          <w:rFonts w:ascii="標楷體" w:eastAsia="標楷體" w:hAnsi="標楷體"/>
          <w:szCs w:val="24"/>
        </w:rPr>
        <w:t>財務報告存貨淨額變動合理性及去化情形、備抵存貨跌價損失與呆滯損失</w:t>
      </w:r>
      <w:proofErr w:type="gramStart"/>
      <w:r w:rsidRPr="00A97CBC">
        <w:rPr>
          <w:rFonts w:ascii="標楷體" w:eastAsia="標楷體" w:hAnsi="標楷體"/>
          <w:szCs w:val="24"/>
        </w:rPr>
        <w:t>提列適足</w:t>
      </w:r>
      <w:proofErr w:type="gramEnd"/>
      <w:r w:rsidRPr="00A97CBC">
        <w:rPr>
          <w:rFonts w:ascii="標楷體" w:eastAsia="標楷體" w:hAnsi="標楷體"/>
          <w:szCs w:val="24"/>
        </w:rPr>
        <w:t>性之評估，並與同業比較評估。</w:t>
      </w:r>
    </w:p>
    <w:p w14:paraId="03DC7DD4" w14:textId="77777777" w:rsidR="001158E3" w:rsidRPr="00A97CBC" w:rsidRDefault="001158E3" w:rsidP="00A97CBC">
      <w:pPr>
        <w:pStyle w:val="a7"/>
        <w:overflowPunct w:val="0"/>
        <w:snapToGrid w:val="0"/>
        <w:ind w:left="709"/>
        <w:jc w:val="both"/>
        <w:rPr>
          <w:rFonts w:ascii="標楷體" w:eastAsia="標楷體" w:hAnsi="標楷體"/>
          <w:szCs w:val="24"/>
        </w:rPr>
      </w:pPr>
    </w:p>
    <w:p w14:paraId="3CD3E64A" w14:textId="77777777" w:rsidR="001158E3" w:rsidRPr="00A97CBC" w:rsidRDefault="00693FE7" w:rsidP="00A97CBC">
      <w:pPr>
        <w:pStyle w:val="a7"/>
        <w:numPr>
          <w:ilvl w:val="1"/>
          <w:numId w:val="1"/>
        </w:numPr>
        <w:overflowPunct w:val="0"/>
        <w:snapToGrid w:val="0"/>
        <w:ind w:left="709" w:hanging="482"/>
        <w:jc w:val="both"/>
        <w:rPr>
          <w:rFonts w:ascii="標楷體" w:eastAsia="標楷體" w:hAnsi="標楷體"/>
          <w:szCs w:val="24"/>
        </w:rPr>
      </w:pPr>
      <w:r w:rsidRPr="00A97CBC">
        <w:rPr>
          <w:rFonts w:ascii="標楷體" w:eastAsia="標楷體" w:hAnsi="標楷體"/>
          <w:szCs w:val="24"/>
        </w:rPr>
        <w:t>申請公司最近</w:t>
      </w:r>
      <w:proofErr w:type="gramStart"/>
      <w:r w:rsidRPr="00A97CBC">
        <w:rPr>
          <w:rFonts w:ascii="標楷體" w:eastAsia="標楷體" w:hAnsi="標楷體"/>
          <w:szCs w:val="24"/>
        </w:rPr>
        <w:t>三</w:t>
      </w:r>
      <w:proofErr w:type="gramEnd"/>
      <w:r w:rsidRPr="00A97CBC">
        <w:rPr>
          <w:rFonts w:ascii="標楷體" w:eastAsia="標楷體" w:hAnsi="標楷體"/>
          <w:szCs w:val="24"/>
        </w:rPr>
        <w:t>年度及申請年度截至最近期止之業績概況</w:t>
      </w:r>
    </w:p>
    <w:p w14:paraId="2836682C" w14:textId="77777777" w:rsidR="001158E3" w:rsidRPr="00A97CBC" w:rsidRDefault="00693FE7" w:rsidP="00A97CBC">
      <w:pPr>
        <w:pStyle w:val="a7"/>
        <w:numPr>
          <w:ilvl w:val="2"/>
          <w:numId w:val="1"/>
        </w:numPr>
        <w:overflowPunct w:val="0"/>
        <w:snapToGrid w:val="0"/>
        <w:ind w:left="993" w:hanging="284"/>
        <w:jc w:val="both"/>
        <w:rPr>
          <w:rFonts w:ascii="標楷體" w:eastAsia="標楷體" w:hAnsi="標楷體"/>
          <w:szCs w:val="24"/>
        </w:rPr>
      </w:pPr>
      <w:r w:rsidRPr="00A97CBC">
        <w:rPr>
          <w:rFonts w:ascii="標楷體" w:eastAsia="標楷體" w:hAnsi="標楷體"/>
          <w:szCs w:val="24"/>
        </w:rPr>
        <w:t>最近</w:t>
      </w:r>
      <w:proofErr w:type="gramStart"/>
      <w:r w:rsidRPr="00A97CBC">
        <w:rPr>
          <w:rFonts w:ascii="標楷體" w:eastAsia="標楷體" w:hAnsi="標楷體"/>
          <w:szCs w:val="24"/>
        </w:rPr>
        <w:t>三</w:t>
      </w:r>
      <w:proofErr w:type="gramEnd"/>
      <w:r w:rsidRPr="00A97CBC">
        <w:rPr>
          <w:rFonts w:ascii="標楷體" w:eastAsia="標楷體" w:hAnsi="標楷體"/>
          <w:szCs w:val="24"/>
        </w:rPr>
        <w:t>年度及申請年度截至最近期</w:t>
      </w:r>
      <w:proofErr w:type="gramStart"/>
      <w:r w:rsidRPr="00A97CBC">
        <w:rPr>
          <w:rFonts w:ascii="標楷體" w:eastAsia="標楷體" w:hAnsi="標楷體"/>
          <w:szCs w:val="24"/>
        </w:rPr>
        <w:t>止</w:t>
      </w:r>
      <w:proofErr w:type="gramEnd"/>
      <w:r w:rsidRPr="00A97CBC">
        <w:rPr>
          <w:rFonts w:ascii="標楷體" w:eastAsia="標楷體" w:hAnsi="標楷體"/>
          <w:szCs w:val="24"/>
        </w:rPr>
        <w:t>營業收入、營業毛利及營業利益與同業比較之情形。</w:t>
      </w:r>
    </w:p>
    <w:p w14:paraId="4A4717CE" w14:textId="77777777" w:rsidR="001158E3" w:rsidRPr="00A97CBC" w:rsidRDefault="00693FE7" w:rsidP="00A97CBC">
      <w:pPr>
        <w:pStyle w:val="a7"/>
        <w:numPr>
          <w:ilvl w:val="2"/>
          <w:numId w:val="1"/>
        </w:numPr>
        <w:overflowPunct w:val="0"/>
        <w:snapToGrid w:val="0"/>
        <w:ind w:left="993" w:hanging="284"/>
        <w:jc w:val="both"/>
        <w:rPr>
          <w:rFonts w:ascii="標楷體" w:eastAsia="標楷體" w:hAnsi="標楷體"/>
          <w:szCs w:val="24"/>
        </w:rPr>
      </w:pPr>
      <w:r w:rsidRPr="00A97CBC">
        <w:rPr>
          <w:rFonts w:ascii="標楷體" w:eastAsia="標楷體" w:hAnsi="標楷體"/>
          <w:szCs w:val="24"/>
        </w:rPr>
        <w:t>最近</w:t>
      </w:r>
      <w:proofErr w:type="gramStart"/>
      <w:r w:rsidRPr="00A97CBC">
        <w:rPr>
          <w:rFonts w:ascii="標楷體" w:eastAsia="標楷體" w:hAnsi="標楷體"/>
          <w:szCs w:val="24"/>
        </w:rPr>
        <w:t>三</w:t>
      </w:r>
      <w:proofErr w:type="gramEnd"/>
      <w:r w:rsidRPr="00A97CBC">
        <w:rPr>
          <w:rFonts w:ascii="標楷體" w:eastAsia="標楷體" w:hAnsi="標楷體"/>
          <w:szCs w:val="24"/>
        </w:rPr>
        <w:t>年度及申請年度截至最近期止以「部門別」或「主要產品別」之營業收入、營業成本及營業毛利之變化情形是否合理。</w:t>
      </w:r>
    </w:p>
    <w:p w14:paraId="2469200A" w14:textId="77777777" w:rsidR="001158E3" w:rsidRPr="00A97CBC" w:rsidRDefault="00693FE7" w:rsidP="00A97CBC">
      <w:pPr>
        <w:pStyle w:val="a7"/>
        <w:numPr>
          <w:ilvl w:val="2"/>
          <w:numId w:val="1"/>
        </w:numPr>
        <w:overflowPunct w:val="0"/>
        <w:snapToGrid w:val="0"/>
        <w:ind w:left="993" w:hanging="284"/>
        <w:jc w:val="both"/>
        <w:rPr>
          <w:rFonts w:ascii="標楷體" w:eastAsia="標楷體" w:hAnsi="標楷體"/>
          <w:szCs w:val="24"/>
        </w:rPr>
      </w:pPr>
      <w:r w:rsidRPr="00A97CBC">
        <w:rPr>
          <w:rFonts w:ascii="標楷體" w:eastAsia="標楷體" w:hAnsi="標楷體"/>
          <w:szCs w:val="24"/>
        </w:rPr>
        <w:t>最近</w:t>
      </w:r>
      <w:proofErr w:type="gramStart"/>
      <w:r w:rsidRPr="00A97CBC">
        <w:rPr>
          <w:rFonts w:ascii="標楷體" w:eastAsia="標楷體" w:hAnsi="標楷體"/>
          <w:szCs w:val="24"/>
        </w:rPr>
        <w:t>三</w:t>
      </w:r>
      <w:proofErr w:type="gramEnd"/>
      <w:r w:rsidRPr="00A97CBC">
        <w:rPr>
          <w:rFonts w:ascii="標楷體" w:eastAsia="標楷體" w:hAnsi="標楷體"/>
          <w:szCs w:val="24"/>
        </w:rPr>
        <w:t>年度及申請年度截至最近期</w:t>
      </w:r>
      <w:proofErr w:type="gramStart"/>
      <w:r w:rsidRPr="00A97CBC">
        <w:rPr>
          <w:rFonts w:ascii="標楷體" w:eastAsia="標楷體" w:hAnsi="標楷體"/>
          <w:szCs w:val="24"/>
        </w:rPr>
        <w:t>止</w:t>
      </w:r>
      <w:proofErr w:type="gramEnd"/>
      <w:r w:rsidRPr="00A97CBC">
        <w:rPr>
          <w:rFonts w:ascii="標楷體" w:eastAsia="標楷體" w:hAnsi="標楷體"/>
          <w:szCs w:val="24"/>
        </w:rPr>
        <w:t>營業收入或毛利率變動達二○％以上者，應</w:t>
      </w:r>
      <w:proofErr w:type="gramStart"/>
      <w:r w:rsidRPr="00A97CBC">
        <w:rPr>
          <w:rFonts w:ascii="標楷體" w:eastAsia="標楷體" w:hAnsi="標楷體"/>
          <w:szCs w:val="24"/>
        </w:rPr>
        <w:t>做價</w:t>
      </w:r>
      <w:proofErr w:type="gramEnd"/>
      <w:r w:rsidRPr="00A97CBC">
        <w:rPr>
          <w:rFonts w:ascii="標楷體" w:eastAsia="標楷體" w:hAnsi="標楷體"/>
          <w:szCs w:val="24"/>
        </w:rPr>
        <w:t>量分析變動之原因，並敘明是否合理。</w:t>
      </w:r>
    </w:p>
    <w:p w14:paraId="6FFEF02E" w14:textId="77777777" w:rsidR="001158E3" w:rsidRPr="00A97CBC" w:rsidRDefault="001158E3" w:rsidP="00A97CBC">
      <w:pPr>
        <w:pStyle w:val="a7"/>
        <w:overflowPunct w:val="0"/>
        <w:snapToGrid w:val="0"/>
        <w:ind w:left="709"/>
        <w:jc w:val="both"/>
        <w:rPr>
          <w:rFonts w:ascii="標楷體" w:eastAsia="標楷體" w:hAnsi="標楷體"/>
          <w:szCs w:val="24"/>
        </w:rPr>
      </w:pPr>
    </w:p>
    <w:p w14:paraId="2250F8AB" w14:textId="77777777" w:rsidR="001158E3" w:rsidRPr="00A97CBC" w:rsidRDefault="00693FE7" w:rsidP="00A97CBC">
      <w:pPr>
        <w:pStyle w:val="a7"/>
        <w:numPr>
          <w:ilvl w:val="1"/>
          <w:numId w:val="1"/>
        </w:numPr>
        <w:overflowPunct w:val="0"/>
        <w:snapToGrid w:val="0"/>
        <w:ind w:left="709" w:hanging="482"/>
        <w:jc w:val="both"/>
        <w:rPr>
          <w:rFonts w:ascii="標楷體" w:eastAsia="標楷體" w:hAnsi="標楷體"/>
          <w:szCs w:val="24"/>
        </w:rPr>
      </w:pPr>
      <w:proofErr w:type="gramStart"/>
      <w:r w:rsidRPr="00A97CBC">
        <w:rPr>
          <w:rFonts w:ascii="標楷體" w:eastAsia="標楷體" w:hAnsi="標楷體"/>
          <w:szCs w:val="24"/>
        </w:rPr>
        <w:t>併</w:t>
      </w:r>
      <w:proofErr w:type="gramEnd"/>
      <w:r w:rsidRPr="00A97CBC">
        <w:rPr>
          <w:rFonts w:ascii="標楷體" w:eastAsia="標楷體" w:hAnsi="標楷體"/>
          <w:szCs w:val="24"/>
        </w:rPr>
        <w:t>購他公司尚未屆滿一個完整會計年度者，評估</w:t>
      </w:r>
      <w:proofErr w:type="gramStart"/>
      <w:r w:rsidRPr="00A97CBC">
        <w:rPr>
          <w:rFonts w:ascii="標楷體" w:eastAsia="標楷體" w:hAnsi="標楷體"/>
          <w:szCs w:val="24"/>
        </w:rPr>
        <w:t>併</w:t>
      </w:r>
      <w:proofErr w:type="gramEnd"/>
      <w:r w:rsidRPr="00A97CBC">
        <w:rPr>
          <w:rFonts w:ascii="標楷體" w:eastAsia="標楷體" w:hAnsi="標楷體"/>
          <w:szCs w:val="24"/>
        </w:rPr>
        <w:t>購之目的、效益、交易合理性等因素。</w:t>
      </w:r>
    </w:p>
    <w:p w14:paraId="17607797" w14:textId="77777777" w:rsidR="001158E3" w:rsidRPr="00A97CBC" w:rsidRDefault="001158E3" w:rsidP="00A97CBC">
      <w:pPr>
        <w:pStyle w:val="a7"/>
        <w:overflowPunct w:val="0"/>
        <w:snapToGrid w:val="0"/>
        <w:ind w:left="482"/>
        <w:jc w:val="both"/>
        <w:rPr>
          <w:rFonts w:ascii="標楷體" w:eastAsia="標楷體" w:hAnsi="標楷體"/>
          <w:szCs w:val="24"/>
        </w:rPr>
      </w:pPr>
    </w:p>
    <w:p w14:paraId="6AD8898F" w14:textId="77777777" w:rsidR="001158E3" w:rsidRPr="00A97CBC" w:rsidRDefault="00693FE7" w:rsidP="00A97CBC">
      <w:pPr>
        <w:pStyle w:val="a7"/>
        <w:numPr>
          <w:ilvl w:val="0"/>
          <w:numId w:val="1"/>
        </w:numPr>
        <w:overflowPunct w:val="0"/>
        <w:snapToGrid w:val="0"/>
        <w:ind w:left="482" w:hanging="482"/>
        <w:jc w:val="both"/>
        <w:rPr>
          <w:rFonts w:ascii="標楷體" w:eastAsia="標楷體" w:hAnsi="標楷體"/>
          <w:szCs w:val="24"/>
        </w:rPr>
      </w:pPr>
      <w:r w:rsidRPr="00A97CBC">
        <w:rPr>
          <w:rFonts w:ascii="標楷體" w:eastAsia="標楷體" w:hAnsi="標楷體"/>
          <w:szCs w:val="24"/>
        </w:rPr>
        <w:t>財務狀況</w:t>
      </w:r>
    </w:p>
    <w:p w14:paraId="10222B83" w14:textId="77777777" w:rsidR="001158E3" w:rsidRPr="00A97CBC" w:rsidRDefault="00693FE7" w:rsidP="00A97CBC">
      <w:pPr>
        <w:pStyle w:val="a7"/>
        <w:numPr>
          <w:ilvl w:val="1"/>
          <w:numId w:val="1"/>
        </w:numPr>
        <w:overflowPunct w:val="0"/>
        <w:snapToGrid w:val="0"/>
        <w:ind w:left="709" w:hanging="482"/>
        <w:jc w:val="both"/>
        <w:rPr>
          <w:rFonts w:ascii="標楷體" w:eastAsia="標楷體" w:hAnsi="標楷體"/>
          <w:szCs w:val="24"/>
        </w:rPr>
      </w:pPr>
      <w:r w:rsidRPr="00A97CBC">
        <w:rPr>
          <w:rFonts w:ascii="標楷體" w:eastAsia="標楷體" w:hAnsi="標楷體"/>
          <w:szCs w:val="24"/>
        </w:rPr>
        <w:t>申請公司最近</w:t>
      </w:r>
      <w:proofErr w:type="gramStart"/>
      <w:r w:rsidRPr="00A97CBC">
        <w:rPr>
          <w:rFonts w:ascii="標楷體" w:eastAsia="標楷體" w:hAnsi="標楷體"/>
          <w:szCs w:val="24"/>
        </w:rPr>
        <w:t>三</w:t>
      </w:r>
      <w:proofErr w:type="gramEnd"/>
      <w:r w:rsidRPr="00A97CBC">
        <w:rPr>
          <w:rFonts w:ascii="標楷體" w:eastAsia="標楷體" w:hAnsi="標楷體"/>
          <w:szCs w:val="24"/>
        </w:rPr>
        <w:t>年度及申請年度截至最近期</w:t>
      </w:r>
      <w:proofErr w:type="gramStart"/>
      <w:r w:rsidRPr="00A97CBC">
        <w:rPr>
          <w:rFonts w:ascii="標楷體" w:eastAsia="標楷體" w:hAnsi="標楷體"/>
          <w:szCs w:val="24"/>
        </w:rPr>
        <w:t>止</w:t>
      </w:r>
      <w:proofErr w:type="gramEnd"/>
      <w:r w:rsidRPr="00A97CBC">
        <w:rPr>
          <w:rFonts w:ascii="標楷體" w:eastAsia="標楷體" w:hAnsi="標楷體"/>
          <w:szCs w:val="24"/>
        </w:rPr>
        <w:t>財務比率之分析，與同類別上櫃、上市公司及未上櫃、未上市同業財務比率之比較</w:t>
      </w:r>
      <w:proofErr w:type="gramStart"/>
      <w:r w:rsidRPr="00A97CBC">
        <w:rPr>
          <w:rFonts w:ascii="標楷體" w:eastAsia="標楷體" w:hAnsi="標楷體"/>
          <w:szCs w:val="24"/>
        </w:rPr>
        <w:t>分析－應包括</w:t>
      </w:r>
      <w:proofErr w:type="gramEnd"/>
      <w:r w:rsidRPr="00A97CBC">
        <w:rPr>
          <w:rFonts w:ascii="標楷體" w:eastAsia="標楷體" w:hAnsi="標楷體"/>
          <w:szCs w:val="24"/>
        </w:rPr>
        <w:t>財務結構、償債能力、經營能力、獲利能力與現金流量。</w:t>
      </w:r>
    </w:p>
    <w:p w14:paraId="09EBFE1C" w14:textId="77777777" w:rsidR="001158E3" w:rsidRPr="00A97CBC" w:rsidRDefault="001158E3" w:rsidP="00A97CBC">
      <w:pPr>
        <w:pStyle w:val="a7"/>
        <w:overflowPunct w:val="0"/>
        <w:snapToGrid w:val="0"/>
        <w:ind w:left="709"/>
        <w:jc w:val="both"/>
        <w:rPr>
          <w:rFonts w:ascii="標楷體" w:eastAsia="標楷體" w:hAnsi="標楷體"/>
          <w:szCs w:val="24"/>
        </w:rPr>
      </w:pPr>
    </w:p>
    <w:p w14:paraId="3D803085" w14:textId="77777777" w:rsidR="001158E3" w:rsidRPr="00A97CBC" w:rsidRDefault="00693FE7" w:rsidP="00A97CBC">
      <w:pPr>
        <w:pStyle w:val="a7"/>
        <w:numPr>
          <w:ilvl w:val="1"/>
          <w:numId w:val="1"/>
        </w:numPr>
        <w:overflowPunct w:val="0"/>
        <w:snapToGrid w:val="0"/>
        <w:ind w:left="709" w:hanging="482"/>
        <w:jc w:val="both"/>
        <w:rPr>
          <w:rFonts w:ascii="標楷體" w:eastAsia="標楷體" w:hAnsi="標楷體"/>
          <w:szCs w:val="24"/>
        </w:rPr>
      </w:pPr>
      <w:r w:rsidRPr="00A97CBC">
        <w:rPr>
          <w:rFonts w:ascii="標楷體" w:eastAsia="標楷體" w:hAnsi="標楷體"/>
          <w:szCs w:val="24"/>
        </w:rPr>
        <w:t>申請公司最近</w:t>
      </w:r>
      <w:proofErr w:type="gramStart"/>
      <w:r w:rsidRPr="00A97CBC">
        <w:rPr>
          <w:rFonts w:ascii="標楷體" w:eastAsia="標楷體" w:hAnsi="標楷體"/>
          <w:szCs w:val="24"/>
        </w:rPr>
        <w:t>三</w:t>
      </w:r>
      <w:proofErr w:type="gramEnd"/>
      <w:r w:rsidRPr="00A97CBC">
        <w:rPr>
          <w:rFonts w:ascii="標楷體" w:eastAsia="標楷體" w:hAnsi="標楷體"/>
          <w:szCs w:val="24"/>
        </w:rPr>
        <w:t>年度及申請年度截至最近期</w:t>
      </w:r>
      <w:proofErr w:type="gramStart"/>
      <w:r w:rsidRPr="00A97CBC">
        <w:rPr>
          <w:rFonts w:ascii="標楷體" w:eastAsia="標楷體" w:hAnsi="標楷體"/>
          <w:szCs w:val="24"/>
        </w:rPr>
        <w:t>止</w:t>
      </w:r>
      <w:proofErr w:type="gramEnd"/>
      <w:r w:rsidRPr="00A97CBC">
        <w:rPr>
          <w:rFonts w:ascii="標楷體" w:eastAsia="標楷體" w:hAnsi="標楷體"/>
          <w:szCs w:val="24"/>
        </w:rPr>
        <w:t>申請公司及其各子公司暨母子公司間背書保證、重大承諾、資金貸與他人、衍生性商品交易及重大資產交易之情形，並評估對其財務狀況之影響。</w:t>
      </w:r>
    </w:p>
    <w:p w14:paraId="79D22891" w14:textId="77777777" w:rsidR="001158E3" w:rsidRPr="00A97CBC" w:rsidRDefault="001158E3" w:rsidP="00A97CBC">
      <w:pPr>
        <w:pStyle w:val="a7"/>
        <w:overflowPunct w:val="0"/>
        <w:snapToGrid w:val="0"/>
        <w:ind w:left="709"/>
        <w:jc w:val="both"/>
        <w:rPr>
          <w:rFonts w:ascii="標楷體" w:eastAsia="標楷體" w:hAnsi="標楷體"/>
          <w:szCs w:val="24"/>
        </w:rPr>
      </w:pPr>
    </w:p>
    <w:p w14:paraId="0E6B431B" w14:textId="77777777" w:rsidR="001158E3" w:rsidRPr="00A97CBC" w:rsidRDefault="00693FE7" w:rsidP="00A97CBC">
      <w:pPr>
        <w:pStyle w:val="a7"/>
        <w:numPr>
          <w:ilvl w:val="1"/>
          <w:numId w:val="1"/>
        </w:numPr>
        <w:overflowPunct w:val="0"/>
        <w:snapToGrid w:val="0"/>
        <w:ind w:left="709" w:hanging="482"/>
        <w:jc w:val="both"/>
        <w:rPr>
          <w:rFonts w:ascii="標楷體" w:eastAsia="標楷體" w:hAnsi="標楷體"/>
          <w:szCs w:val="24"/>
        </w:rPr>
      </w:pPr>
      <w:r w:rsidRPr="00A97CBC">
        <w:rPr>
          <w:rFonts w:ascii="標楷體" w:eastAsia="標楷體" w:hAnsi="標楷體"/>
          <w:szCs w:val="24"/>
        </w:rPr>
        <w:t>申請公司申請年度截至最近期止之擴廠計畫及資金來源、工作進度、預計效益，並評估其可行性。</w:t>
      </w:r>
    </w:p>
    <w:p w14:paraId="43FA232C" w14:textId="77777777" w:rsidR="001158E3" w:rsidRPr="00A97CBC" w:rsidRDefault="00693FE7" w:rsidP="00A97CBC">
      <w:pPr>
        <w:pStyle w:val="a7"/>
        <w:overflowPunct w:val="0"/>
        <w:snapToGrid w:val="0"/>
        <w:ind w:left="120"/>
        <w:jc w:val="both"/>
        <w:rPr>
          <w:rFonts w:ascii="標楷體" w:eastAsia="標楷體" w:hAnsi="標楷體"/>
          <w:szCs w:val="24"/>
        </w:rPr>
      </w:pPr>
      <w:r w:rsidRPr="00A97CBC">
        <w:rPr>
          <w:rFonts w:ascii="標楷體" w:eastAsia="標楷體" w:hAnsi="標楷體"/>
          <w:szCs w:val="24"/>
        </w:rPr>
        <w:t xml:space="preserve">      　　　　　　　　　　　　　　　　　　　　　　　　　　　　      　　　　　　　　　　　　　　　　　　　　　　　　　　　　</w:t>
      </w:r>
    </w:p>
    <w:p w14:paraId="6E2429F2" w14:textId="77777777" w:rsidR="001158E3" w:rsidRPr="00A97CBC" w:rsidRDefault="00693FE7" w:rsidP="00A97CBC">
      <w:pPr>
        <w:pStyle w:val="a7"/>
        <w:numPr>
          <w:ilvl w:val="1"/>
          <w:numId w:val="1"/>
        </w:numPr>
        <w:overflowPunct w:val="0"/>
        <w:snapToGrid w:val="0"/>
        <w:ind w:left="709" w:hanging="482"/>
        <w:jc w:val="both"/>
        <w:rPr>
          <w:rFonts w:ascii="標楷體" w:eastAsia="標楷體" w:hAnsi="標楷體"/>
          <w:szCs w:val="24"/>
        </w:rPr>
      </w:pPr>
      <w:r w:rsidRPr="00A97CBC">
        <w:rPr>
          <w:rFonts w:ascii="標楷體" w:eastAsia="標楷體" w:hAnsi="標楷體"/>
          <w:szCs w:val="24"/>
        </w:rPr>
        <w:lastRenderedPageBreak/>
        <w:t>財務報告之轉投資事業</w:t>
      </w:r>
    </w:p>
    <w:p w14:paraId="7C6A1662" w14:textId="77777777" w:rsidR="001158E3" w:rsidRPr="00A97CBC" w:rsidRDefault="00693FE7" w:rsidP="00A97CBC">
      <w:pPr>
        <w:pStyle w:val="a7"/>
        <w:numPr>
          <w:ilvl w:val="2"/>
          <w:numId w:val="1"/>
        </w:numPr>
        <w:overflowPunct w:val="0"/>
        <w:snapToGrid w:val="0"/>
        <w:ind w:left="993" w:hanging="284"/>
        <w:jc w:val="both"/>
        <w:rPr>
          <w:rFonts w:ascii="標楷體" w:eastAsia="標楷體" w:hAnsi="標楷體"/>
          <w:szCs w:val="24"/>
        </w:rPr>
      </w:pPr>
      <w:r w:rsidRPr="00A97CBC">
        <w:rPr>
          <w:rFonts w:ascii="標楷體" w:eastAsia="標楷體" w:hAnsi="標楷體"/>
          <w:szCs w:val="24"/>
        </w:rPr>
        <w:t>申請公司申請年度截至最近期</w:t>
      </w:r>
      <w:proofErr w:type="gramStart"/>
      <w:r w:rsidRPr="00A97CBC">
        <w:rPr>
          <w:rFonts w:ascii="標楷體" w:eastAsia="標楷體" w:hAnsi="標楷體"/>
          <w:szCs w:val="24"/>
        </w:rPr>
        <w:t>止</w:t>
      </w:r>
      <w:proofErr w:type="gramEnd"/>
      <w:r w:rsidRPr="00A97CBC">
        <w:rPr>
          <w:rFonts w:ascii="標楷體" w:eastAsia="標楷體" w:hAnsi="標楷體"/>
          <w:szCs w:val="24"/>
        </w:rPr>
        <w:t>轉投資事業概況，並評估重要轉投資事業（持股比例達二○％以上或</w:t>
      </w:r>
      <w:proofErr w:type="gramStart"/>
      <w:r w:rsidRPr="00A97CBC">
        <w:rPr>
          <w:rFonts w:ascii="標楷體" w:eastAsia="標楷體" w:hAnsi="標楷體"/>
          <w:szCs w:val="24"/>
        </w:rPr>
        <w:t>帳面</w:t>
      </w:r>
      <w:proofErr w:type="gramEnd"/>
      <w:r w:rsidRPr="00A97CBC">
        <w:rPr>
          <w:rFonts w:ascii="標楷體" w:eastAsia="標楷體" w:hAnsi="標楷體"/>
          <w:szCs w:val="24"/>
        </w:rPr>
        <w:t>金額或原始投資金額達新台幣五千萬元以上者）最近年度及申請年度截至最近期止之營運情形及獲利能力。</w:t>
      </w:r>
    </w:p>
    <w:p w14:paraId="0CE995FB" w14:textId="77777777" w:rsidR="001158E3" w:rsidRPr="00A97CBC" w:rsidRDefault="00693FE7" w:rsidP="00A97CBC">
      <w:pPr>
        <w:pStyle w:val="a7"/>
        <w:numPr>
          <w:ilvl w:val="2"/>
          <w:numId w:val="1"/>
        </w:numPr>
        <w:overflowPunct w:val="0"/>
        <w:snapToGrid w:val="0"/>
        <w:ind w:left="993" w:hanging="284"/>
        <w:jc w:val="both"/>
        <w:rPr>
          <w:rFonts w:ascii="標楷體" w:eastAsia="標楷體" w:hAnsi="標楷體"/>
          <w:szCs w:val="24"/>
        </w:rPr>
      </w:pPr>
      <w:r w:rsidRPr="00A97CBC">
        <w:rPr>
          <w:rFonts w:ascii="標楷體" w:eastAsia="標楷體" w:hAnsi="標楷體"/>
          <w:szCs w:val="24"/>
        </w:rPr>
        <w:t>申請公司最近</w:t>
      </w:r>
      <w:proofErr w:type="gramStart"/>
      <w:r w:rsidRPr="00A97CBC">
        <w:rPr>
          <w:rFonts w:ascii="標楷體" w:eastAsia="標楷體" w:hAnsi="標楷體"/>
          <w:szCs w:val="24"/>
        </w:rPr>
        <w:t>三</w:t>
      </w:r>
      <w:proofErr w:type="gramEnd"/>
      <w:r w:rsidRPr="00A97CBC">
        <w:rPr>
          <w:rFonts w:ascii="標楷體" w:eastAsia="標楷體" w:hAnsi="標楷體"/>
          <w:szCs w:val="24"/>
        </w:rPr>
        <w:t>年度及申請年度截至最近期認列採用權益法認列之子公司、關聯企業及合資損益之份額、股利分配情形及海外轉投資事業獲利</w:t>
      </w:r>
      <w:proofErr w:type="gramStart"/>
      <w:r w:rsidRPr="00A97CBC">
        <w:rPr>
          <w:rFonts w:ascii="標楷體" w:eastAsia="標楷體" w:hAnsi="標楷體"/>
          <w:szCs w:val="24"/>
        </w:rPr>
        <w:t>匯</w:t>
      </w:r>
      <w:proofErr w:type="gramEnd"/>
      <w:r w:rsidRPr="00A97CBC">
        <w:rPr>
          <w:rFonts w:ascii="標楷體" w:eastAsia="標楷體" w:hAnsi="標楷體"/>
          <w:szCs w:val="24"/>
        </w:rPr>
        <w:t>回金額。</w:t>
      </w:r>
    </w:p>
    <w:p w14:paraId="782B72B5" w14:textId="77777777" w:rsidR="001158E3" w:rsidRPr="00A97CBC" w:rsidRDefault="00693FE7" w:rsidP="00A97CBC">
      <w:pPr>
        <w:pStyle w:val="a7"/>
        <w:numPr>
          <w:ilvl w:val="2"/>
          <w:numId w:val="1"/>
        </w:numPr>
        <w:overflowPunct w:val="0"/>
        <w:snapToGrid w:val="0"/>
        <w:ind w:left="993" w:hanging="284"/>
        <w:jc w:val="both"/>
        <w:rPr>
          <w:rFonts w:ascii="標楷體" w:eastAsia="標楷體" w:hAnsi="標楷體"/>
          <w:szCs w:val="24"/>
        </w:rPr>
      </w:pPr>
      <w:r w:rsidRPr="00A97CBC">
        <w:rPr>
          <w:rFonts w:ascii="標楷體" w:eastAsia="標楷體" w:hAnsi="標楷體"/>
          <w:szCs w:val="24"/>
        </w:rPr>
        <w:t>申請公司申請年度截至最近期</w:t>
      </w:r>
      <w:proofErr w:type="gramStart"/>
      <w:r w:rsidRPr="00A97CBC">
        <w:rPr>
          <w:rFonts w:ascii="標楷體" w:eastAsia="標楷體" w:hAnsi="標楷體"/>
          <w:szCs w:val="24"/>
        </w:rPr>
        <w:t>止</w:t>
      </w:r>
      <w:proofErr w:type="gramEnd"/>
      <w:r w:rsidRPr="00A97CBC">
        <w:rPr>
          <w:rFonts w:ascii="標楷體" w:eastAsia="標楷體" w:hAnsi="標楷體"/>
          <w:szCs w:val="24"/>
        </w:rPr>
        <w:t>尚未完成之投資案，其預估總投資金額占最近</w:t>
      </w:r>
      <w:proofErr w:type="gramStart"/>
      <w:r w:rsidRPr="00A97CBC">
        <w:rPr>
          <w:rFonts w:ascii="標楷體" w:eastAsia="標楷體" w:hAnsi="標楷體"/>
          <w:szCs w:val="24"/>
        </w:rPr>
        <w:t>一</w:t>
      </w:r>
      <w:proofErr w:type="gramEnd"/>
      <w:r w:rsidRPr="00A97CBC">
        <w:rPr>
          <w:rFonts w:ascii="標楷體" w:eastAsia="標楷體" w:hAnsi="標楷體"/>
          <w:szCs w:val="24"/>
        </w:rPr>
        <w:t>年度財務報告所列示股本二○％以上，或逾新台幣五億元者，應就下列事項詳加評估說明，但股票為無面額或每股面額非新台幣十元者，前開有關股本二○％部分改以歸屬於母公司業主之權益一○％計算之：</w:t>
      </w:r>
    </w:p>
    <w:p w14:paraId="35DC7042" w14:textId="77777777" w:rsidR="001158E3" w:rsidRPr="00A97CBC" w:rsidRDefault="00693FE7" w:rsidP="00A97CBC">
      <w:pPr>
        <w:pStyle w:val="a7"/>
        <w:numPr>
          <w:ilvl w:val="1"/>
          <w:numId w:val="2"/>
        </w:numPr>
        <w:tabs>
          <w:tab w:val="left" w:pos="1560"/>
          <w:tab w:val="left" w:pos="1680"/>
        </w:tabs>
        <w:overflowPunct w:val="0"/>
        <w:snapToGrid w:val="0"/>
        <w:ind w:left="1320"/>
        <w:jc w:val="both"/>
        <w:rPr>
          <w:rFonts w:ascii="標楷體" w:eastAsia="標楷體" w:hAnsi="標楷體"/>
          <w:color w:val="000000"/>
          <w:szCs w:val="24"/>
        </w:rPr>
      </w:pPr>
      <w:r w:rsidRPr="00A97CBC">
        <w:rPr>
          <w:rFonts w:ascii="標楷體" w:eastAsia="標楷體" w:hAnsi="標楷體"/>
          <w:color w:val="000000"/>
          <w:szCs w:val="24"/>
        </w:rPr>
        <w:t>該項投資之目的、投資始點及預計完成日。</w:t>
      </w:r>
    </w:p>
    <w:p w14:paraId="64CB5A08" w14:textId="77777777" w:rsidR="001158E3" w:rsidRPr="00A97CBC" w:rsidRDefault="00693FE7" w:rsidP="00A97CBC">
      <w:pPr>
        <w:pStyle w:val="a7"/>
        <w:numPr>
          <w:ilvl w:val="1"/>
          <w:numId w:val="2"/>
        </w:numPr>
        <w:tabs>
          <w:tab w:val="left" w:pos="1560"/>
          <w:tab w:val="left" w:pos="1680"/>
        </w:tabs>
        <w:overflowPunct w:val="0"/>
        <w:snapToGrid w:val="0"/>
        <w:ind w:left="1320"/>
        <w:jc w:val="both"/>
        <w:rPr>
          <w:rFonts w:ascii="標楷體" w:eastAsia="標楷體" w:hAnsi="標楷體"/>
          <w:color w:val="000000"/>
          <w:szCs w:val="24"/>
        </w:rPr>
      </w:pPr>
      <w:r w:rsidRPr="00A97CBC">
        <w:rPr>
          <w:rFonts w:ascii="標楷體" w:eastAsia="標楷體" w:hAnsi="標楷體"/>
          <w:color w:val="000000"/>
          <w:szCs w:val="24"/>
        </w:rPr>
        <w:t>投資之資金來源。若係舉債，應評估其對公司未來營運之影響；若係自有資金，應設算其所損失之利息收入或再投資報酬。</w:t>
      </w:r>
    </w:p>
    <w:p w14:paraId="6849DEBD" w14:textId="77777777" w:rsidR="001158E3" w:rsidRPr="00A97CBC" w:rsidRDefault="00693FE7" w:rsidP="00A97CBC">
      <w:pPr>
        <w:pStyle w:val="a7"/>
        <w:numPr>
          <w:ilvl w:val="1"/>
          <w:numId w:val="2"/>
        </w:numPr>
        <w:tabs>
          <w:tab w:val="left" w:pos="1560"/>
          <w:tab w:val="left" w:pos="1680"/>
        </w:tabs>
        <w:overflowPunct w:val="0"/>
        <w:snapToGrid w:val="0"/>
        <w:ind w:left="1320"/>
        <w:jc w:val="both"/>
        <w:rPr>
          <w:rFonts w:ascii="標楷體" w:eastAsia="標楷體" w:hAnsi="標楷體"/>
          <w:color w:val="000000"/>
          <w:szCs w:val="24"/>
        </w:rPr>
      </w:pPr>
      <w:r w:rsidRPr="00A97CBC">
        <w:rPr>
          <w:rFonts w:ascii="標楷體" w:eastAsia="標楷體" w:hAnsi="標楷體"/>
          <w:color w:val="000000"/>
          <w:szCs w:val="24"/>
        </w:rPr>
        <w:t>投資之效益。包括投資完成後，預估市場供需情況、每年之投資報酬率及預估之成本回收期限。</w:t>
      </w:r>
    </w:p>
    <w:p w14:paraId="74F2DFD5" w14:textId="77777777" w:rsidR="001158E3" w:rsidRPr="00A97CBC" w:rsidRDefault="00693FE7" w:rsidP="00A97CBC">
      <w:pPr>
        <w:pStyle w:val="a7"/>
        <w:numPr>
          <w:ilvl w:val="1"/>
          <w:numId w:val="2"/>
        </w:numPr>
        <w:tabs>
          <w:tab w:val="left" w:pos="1560"/>
          <w:tab w:val="left" w:pos="1680"/>
        </w:tabs>
        <w:overflowPunct w:val="0"/>
        <w:snapToGrid w:val="0"/>
        <w:ind w:left="1320"/>
        <w:jc w:val="both"/>
        <w:rPr>
          <w:rFonts w:ascii="標楷體" w:eastAsia="標楷體" w:hAnsi="標楷體"/>
          <w:color w:val="000000"/>
          <w:szCs w:val="24"/>
        </w:rPr>
      </w:pPr>
      <w:r w:rsidRPr="00A97CBC">
        <w:rPr>
          <w:rFonts w:ascii="標楷體" w:eastAsia="標楷體" w:hAnsi="標楷體"/>
          <w:color w:val="000000"/>
          <w:szCs w:val="24"/>
        </w:rPr>
        <w:t>被投資事業或項目之目前營業與財務狀況。</w:t>
      </w:r>
    </w:p>
    <w:p w14:paraId="2481F327" w14:textId="77777777" w:rsidR="001158E3" w:rsidRPr="00A97CBC" w:rsidRDefault="00693FE7" w:rsidP="00A97CBC">
      <w:pPr>
        <w:pStyle w:val="a7"/>
        <w:numPr>
          <w:ilvl w:val="1"/>
          <w:numId w:val="2"/>
        </w:numPr>
        <w:tabs>
          <w:tab w:val="left" w:pos="1560"/>
          <w:tab w:val="left" w:pos="1680"/>
        </w:tabs>
        <w:overflowPunct w:val="0"/>
        <w:snapToGrid w:val="0"/>
        <w:ind w:left="1320"/>
        <w:jc w:val="both"/>
        <w:rPr>
          <w:rFonts w:ascii="標楷體" w:eastAsia="標楷體" w:hAnsi="標楷體"/>
          <w:color w:val="000000"/>
          <w:szCs w:val="24"/>
        </w:rPr>
      </w:pPr>
      <w:r w:rsidRPr="00A97CBC">
        <w:rPr>
          <w:rFonts w:ascii="標楷體" w:eastAsia="標楷體" w:hAnsi="標楷體"/>
          <w:color w:val="000000"/>
          <w:szCs w:val="24"/>
        </w:rPr>
        <w:t>業務或技術專家對該項投資之評估意見。</w:t>
      </w:r>
    </w:p>
    <w:p w14:paraId="2859F3EA" w14:textId="77777777" w:rsidR="001158E3" w:rsidRPr="00A97CBC" w:rsidRDefault="001158E3" w:rsidP="00A97CBC">
      <w:pPr>
        <w:pStyle w:val="a7"/>
        <w:overflowPunct w:val="0"/>
        <w:snapToGrid w:val="0"/>
        <w:jc w:val="both"/>
        <w:rPr>
          <w:rFonts w:ascii="標楷體" w:eastAsia="標楷體" w:hAnsi="標楷體"/>
          <w:color w:val="000000"/>
          <w:szCs w:val="24"/>
        </w:rPr>
      </w:pPr>
    </w:p>
    <w:p w14:paraId="1DEF1C32" w14:textId="77777777" w:rsidR="001158E3" w:rsidRPr="00A97CBC" w:rsidRDefault="00693FE7" w:rsidP="00A97CBC">
      <w:pPr>
        <w:pStyle w:val="a7"/>
        <w:numPr>
          <w:ilvl w:val="1"/>
          <w:numId w:val="1"/>
        </w:numPr>
        <w:overflowPunct w:val="0"/>
        <w:snapToGrid w:val="0"/>
        <w:ind w:left="709" w:hanging="482"/>
        <w:jc w:val="both"/>
        <w:rPr>
          <w:rFonts w:ascii="標楷體" w:eastAsia="標楷體" w:hAnsi="標楷體"/>
          <w:color w:val="000000"/>
          <w:szCs w:val="24"/>
        </w:rPr>
      </w:pPr>
      <w:r w:rsidRPr="00A97CBC">
        <w:rPr>
          <w:rFonts w:ascii="標楷體" w:eastAsia="標楷體" w:hAnsi="標楷體"/>
          <w:color w:val="000000"/>
          <w:szCs w:val="24"/>
        </w:rPr>
        <w:t>申請公司分別以承銷價格</w:t>
      </w:r>
      <w:proofErr w:type="gramStart"/>
      <w:r w:rsidRPr="00A97CBC">
        <w:rPr>
          <w:rFonts w:ascii="標楷體" w:eastAsia="標楷體" w:hAnsi="標楷體"/>
          <w:color w:val="000000"/>
          <w:szCs w:val="24"/>
        </w:rPr>
        <w:t>及於興櫃市場</w:t>
      </w:r>
      <w:proofErr w:type="gramEnd"/>
      <w:r w:rsidRPr="00A97CBC">
        <w:rPr>
          <w:rFonts w:ascii="標楷體" w:eastAsia="標楷體" w:hAnsi="標楷體"/>
          <w:color w:val="000000"/>
          <w:szCs w:val="24"/>
        </w:rPr>
        <w:t>掛牌之最近一個月平均股價為衡量依據，設算其已發行但股份基礎給付交易最終確定日尚未</w:t>
      </w:r>
      <w:proofErr w:type="gramStart"/>
      <w:r w:rsidRPr="00A97CBC">
        <w:rPr>
          <w:rFonts w:ascii="標楷體" w:eastAsia="標楷體" w:hAnsi="標楷體"/>
          <w:color w:val="000000"/>
          <w:szCs w:val="24"/>
        </w:rPr>
        <w:t>屆至且採</w:t>
      </w:r>
      <w:proofErr w:type="gramEnd"/>
      <w:r w:rsidRPr="00A97CBC">
        <w:rPr>
          <w:rFonts w:ascii="標楷體" w:eastAsia="標楷體" w:hAnsi="標楷體"/>
          <w:color w:val="000000"/>
          <w:szCs w:val="24"/>
        </w:rPr>
        <w:t>內含價值法之員工認股權憑證，於股票上櫃後所產生之費用對財務報表可能之影響。</w:t>
      </w:r>
    </w:p>
    <w:p w14:paraId="791968E0" w14:textId="77777777" w:rsidR="001158E3" w:rsidRPr="00A97CBC" w:rsidRDefault="001158E3" w:rsidP="00A97CBC">
      <w:pPr>
        <w:pStyle w:val="a7"/>
        <w:overflowPunct w:val="0"/>
        <w:snapToGrid w:val="0"/>
        <w:jc w:val="both"/>
        <w:rPr>
          <w:rFonts w:ascii="標楷體" w:eastAsia="標楷體" w:hAnsi="標楷體"/>
          <w:color w:val="000000"/>
          <w:szCs w:val="24"/>
        </w:rPr>
      </w:pPr>
    </w:p>
    <w:p w14:paraId="5ED95AD9" w14:textId="77777777" w:rsidR="001158E3" w:rsidRPr="00A97CBC" w:rsidRDefault="00693FE7" w:rsidP="00A97CBC">
      <w:pPr>
        <w:pStyle w:val="a7"/>
        <w:numPr>
          <w:ilvl w:val="1"/>
          <w:numId w:val="1"/>
        </w:numPr>
        <w:overflowPunct w:val="0"/>
        <w:snapToGrid w:val="0"/>
        <w:ind w:left="709" w:hanging="482"/>
        <w:jc w:val="both"/>
        <w:rPr>
          <w:rFonts w:ascii="標楷體" w:eastAsia="標楷體" w:hAnsi="標楷體"/>
          <w:color w:val="000000"/>
          <w:szCs w:val="24"/>
        </w:rPr>
      </w:pPr>
      <w:r w:rsidRPr="00A97CBC">
        <w:rPr>
          <w:rFonts w:ascii="標楷體" w:eastAsia="標楷體" w:hAnsi="標楷體"/>
          <w:color w:val="000000"/>
          <w:szCs w:val="24"/>
        </w:rPr>
        <w:t>公營事業申請股票上櫃時，其檢送之財務報告以經審計機關審定之審定報告書替代者，應洽會計師就如適用一般公認會計原則與審計機關審定數之差異，及其對財務報告之影響表示意見。</w:t>
      </w:r>
    </w:p>
    <w:p w14:paraId="537F323D" w14:textId="77777777" w:rsidR="001158E3" w:rsidRPr="00A97CBC" w:rsidRDefault="001158E3" w:rsidP="00A97CBC">
      <w:pPr>
        <w:pStyle w:val="a7"/>
        <w:overflowPunct w:val="0"/>
        <w:snapToGrid w:val="0"/>
        <w:jc w:val="both"/>
        <w:rPr>
          <w:rFonts w:ascii="標楷體" w:eastAsia="標楷體" w:hAnsi="標楷體"/>
          <w:color w:val="000000"/>
          <w:szCs w:val="24"/>
        </w:rPr>
      </w:pPr>
    </w:p>
    <w:p w14:paraId="51B72E38" w14:textId="77777777" w:rsidR="001158E3" w:rsidRPr="00A97CBC" w:rsidRDefault="00693FE7" w:rsidP="00A97CBC">
      <w:pPr>
        <w:pStyle w:val="a7"/>
        <w:numPr>
          <w:ilvl w:val="1"/>
          <w:numId w:val="1"/>
        </w:numPr>
        <w:overflowPunct w:val="0"/>
        <w:snapToGrid w:val="0"/>
        <w:ind w:left="709" w:hanging="482"/>
        <w:jc w:val="both"/>
        <w:rPr>
          <w:rFonts w:ascii="標楷體" w:eastAsia="標楷體" w:hAnsi="標楷體"/>
          <w:szCs w:val="24"/>
        </w:rPr>
      </w:pPr>
      <w:r w:rsidRPr="00A97CBC">
        <w:rPr>
          <w:rFonts w:ascii="標楷體" w:eastAsia="標楷體" w:hAnsi="標楷體"/>
          <w:szCs w:val="24"/>
        </w:rPr>
        <w:t>評估外國申請公司依註冊地國法令規定發行之員工認股權憑證及具股權性質有價證券之發行辦法</w:t>
      </w:r>
      <w:proofErr w:type="gramStart"/>
      <w:r w:rsidRPr="00A97CBC">
        <w:rPr>
          <w:rFonts w:ascii="標楷體" w:eastAsia="標楷體" w:hAnsi="標楷體"/>
          <w:szCs w:val="24"/>
        </w:rPr>
        <w:t>合理性暨對</w:t>
      </w:r>
      <w:proofErr w:type="gramEnd"/>
      <w:r w:rsidRPr="00A97CBC">
        <w:rPr>
          <w:rFonts w:ascii="標楷體" w:eastAsia="標楷體" w:hAnsi="標楷體"/>
          <w:szCs w:val="24"/>
        </w:rPr>
        <w:t xml:space="preserve">股東權益之影響。                                                                                                                          </w:t>
      </w:r>
    </w:p>
    <w:p w14:paraId="7B74EEEF" w14:textId="77777777" w:rsidR="001158E3" w:rsidRPr="00A97CBC" w:rsidRDefault="001158E3" w:rsidP="00A97CBC">
      <w:pPr>
        <w:pStyle w:val="a7"/>
        <w:overflowPunct w:val="0"/>
        <w:snapToGrid w:val="0"/>
        <w:ind w:left="120"/>
        <w:jc w:val="both"/>
        <w:rPr>
          <w:rFonts w:ascii="標楷體" w:eastAsia="標楷體" w:hAnsi="標楷體"/>
          <w:color w:val="000000"/>
          <w:szCs w:val="24"/>
        </w:rPr>
      </w:pPr>
    </w:p>
    <w:p w14:paraId="4FFF49CC" w14:textId="77777777" w:rsidR="001158E3" w:rsidRPr="00A97CBC" w:rsidRDefault="00693FE7" w:rsidP="00A97CBC">
      <w:pPr>
        <w:pStyle w:val="a7"/>
        <w:numPr>
          <w:ilvl w:val="0"/>
          <w:numId w:val="1"/>
        </w:numPr>
        <w:overflowPunct w:val="0"/>
        <w:snapToGrid w:val="0"/>
        <w:ind w:left="482" w:hanging="482"/>
        <w:jc w:val="both"/>
        <w:rPr>
          <w:szCs w:val="24"/>
        </w:rPr>
      </w:pPr>
      <w:r w:rsidRPr="00A97CBC">
        <w:rPr>
          <w:rFonts w:ascii="標楷體" w:eastAsia="標楷體" w:hAnsi="標楷體"/>
          <w:color w:val="000000"/>
          <w:szCs w:val="24"/>
        </w:rPr>
        <w:t>關係人交易評估－推薦證券商應就申請公司最近</w:t>
      </w:r>
      <w:proofErr w:type="gramStart"/>
      <w:r w:rsidRPr="00A97CBC">
        <w:rPr>
          <w:rFonts w:ascii="標楷體" w:eastAsia="標楷體" w:hAnsi="標楷體"/>
          <w:color w:val="000000"/>
          <w:szCs w:val="24"/>
        </w:rPr>
        <w:t>三</w:t>
      </w:r>
      <w:proofErr w:type="gramEnd"/>
      <w:r w:rsidRPr="00A97CBC">
        <w:rPr>
          <w:rFonts w:ascii="標楷體" w:eastAsia="標楷體" w:hAnsi="標楷體"/>
          <w:color w:val="000000"/>
          <w:szCs w:val="24"/>
        </w:rPr>
        <w:t>年度及申請年度截至最近期</w:t>
      </w:r>
      <w:proofErr w:type="gramStart"/>
      <w:r w:rsidRPr="00A97CBC">
        <w:rPr>
          <w:rFonts w:ascii="標楷體" w:eastAsia="標楷體" w:hAnsi="標楷體"/>
          <w:color w:val="000000"/>
          <w:szCs w:val="24"/>
        </w:rPr>
        <w:t>止</w:t>
      </w:r>
      <w:proofErr w:type="gramEnd"/>
      <w:r w:rsidRPr="00A97CBC">
        <w:rPr>
          <w:rFonts w:ascii="標楷體" w:eastAsia="標楷體" w:hAnsi="標楷體"/>
          <w:szCs w:val="24"/>
        </w:rPr>
        <w:t>財務報告</w:t>
      </w:r>
      <w:r w:rsidRPr="00A97CBC">
        <w:rPr>
          <w:rFonts w:ascii="標楷體" w:eastAsia="標楷體" w:hAnsi="標楷體"/>
          <w:color w:val="000000"/>
          <w:szCs w:val="24"/>
        </w:rPr>
        <w:t>之關係人交易，評估以下事項：</w:t>
      </w:r>
    </w:p>
    <w:p w14:paraId="0FBF046F" w14:textId="77777777" w:rsidR="001158E3" w:rsidRPr="00A97CBC" w:rsidRDefault="00693FE7" w:rsidP="00A97CBC">
      <w:pPr>
        <w:pStyle w:val="a7"/>
        <w:numPr>
          <w:ilvl w:val="1"/>
          <w:numId w:val="1"/>
        </w:numPr>
        <w:overflowPunct w:val="0"/>
        <w:snapToGrid w:val="0"/>
        <w:ind w:left="709" w:hanging="482"/>
        <w:jc w:val="both"/>
        <w:rPr>
          <w:rFonts w:ascii="標楷體" w:eastAsia="標楷體" w:hAnsi="標楷體"/>
          <w:szCs w:val="24"/>
        </w:rPr>
      </w:pPr>
      <w:r w:rsidRPr="00A97CBC">
        <w:rPr>
          <w:rFonts w:ascii="標楷體" w:eastAsia="標楷體" w:hAnsi="標楷體"/>
          <w:szCs w:val="24"/>
        </w:rPr>
        <w:t>應針對申請公司交易金額重大或性質特殊之關係人交易執行相關評估程序（包括與同業及非關係人交易之比較），以</w:t>
      </w:r>
      <w:proofErr w:type="gramStart"/>
      <w:r w:rsidRPr="00A97CBC">
        <w:rPr>
          <w:rFonts w:ascii="標楷體" w:eastAsia="標楷體" w:hAnsi="標楷體"/>
          <w:szCs w:val="24"/>
        </w:rPr>
        <w:t>暸</w:t>
      </w:r>
      <w:proofErr w:type="gramEnd"/>
      <w:r w:rsidRPr="00A97CBC">
        <w:rPr>
          <w:rFonts w:ascii="標楷體" w:eastAsia="標楷體" w:hAnsi="標楷體"/>
          <w:szCs w:val="24"/>
        </w:rPr>
        <w:t>解其交易之必要性，決策過程合法性，暨價格與款項收付情形之合理性。</w:t>
      </w:r>
    </w:p>
    <w:p w14:paraId="2E19CA53" w14:textId="77777777" w:rsidR="001158E3" w:rsidRPr="00A97CBC" w:rsidRDefault="001158E3" w:rsidP="00A97CBC">
      <w:pPr>
        <w:pStyle w:val="a7"/>
        <w:overflowPunct w:val="0"/>
        <w:snapToGrid w:val="0"/>
        <w:jc w:val="both"/>
        <w:rPr>
          <w:rFonts w:ascii="標楷體" w:eastAsia="標楷體" w:hAnsi="標楷體"/>
          <w:szCs w:val="24"/>
        </w:rPr>
      </w:pPr>
    </w:p>
    <w:p w14:paraId="2E73AE3E" w14:textId="77777777" w:rsidR="001158E3" w:rsidRPr="00A97CBC" w:rsidRDefault="00693FE7" w:rsidP="00A97CBC">
      <w:pPr>
        <w:pStyle w:val="a7"/>
        <w:numPr>
          <w:ilvl w:val="1"/>
          <w:numId w:val="1"/>
        </w:numPr>
        <w:overflowPunct w:val="0"/>
        <w:snapToGrid w:val="0"/>
        <w:ind w:left="709" w:hanging="482"/>
        <w:jc w:val="both"/>
        <w:rPr>
          <w:rFonts w:ascii="標楷體" w:eastAsia="標楷體" w:hAnsi="標楷體"/>
          <w:szCs w:val="24"/>
        </w:rPr>
      </w:pPr>
      <w:r w:rsidRPr="00A97CBC">
        <w:rPr>
          <w:rFonts w:ascii="標楷體" w:eastAsia="標楷體" w:hAnsi="標楷體"/>
          <w:szCs w:val="24"/>
        </w:rPr>
        <w:t>應瞭解申請公司金額重大之關係企業應收款項是否逾期，針對逾期者，應查明其原因及有無重大異常情事。</w:t>
      </w:r>
    </w:p>
    <w:p w14:paraId="26F03D11" w14:textId="77777777" w:rsidR="001158E3" w:rsidRPr="00A97CBC" w:rsidRDefault="001158E3" w:rsidP="00A97CBC">
      <w:pPr>
        <w:pStyle w:val="a7"/>
        <w:overflowPunct w:val="0"/>
        <w:snapToGrid w:val="0"/>
        <w:jc w:val="both"/>
        <w:rPr>
          <w:rFonts w:ascii="標楷體" w:eastAsia="標楷體" w:hAnsi="標楷體"/>
          <w:szCs w:val="24"/>
        </w:rPr>
      </w:pPr>
    </w:p>
    <w:p w14:paraId="69638605" w14:textId="77777777" w:rsidR="001158E3" w:rsidRPr="00A97CBC" w:rsidRDefault="00693FE7" w:rsidP="00A97CBC">
      <w:pPr>
        <w:pStyle w:val="a7"/>
        <w:numPr>
          <w:ilvl w:val="1"/>
          <w:numId w:val="1"/>
        </w:numPr>
        <w:overflowPunct w:val="0"/>
        <w:snapToGrid w:val="0"/>
        <w:ind w:left="709" w:hanging="482"/>
        <w:jc w:val="both"/>
        <w:rPr>
          <w:rFonts w:ascii="標楷體" w:eastAsia="標楷體" w:hAnsi="標楷體"/>
          <w:szCs w:val="24"/>
        </w:rPr>
      </w:pPr>
      <w:r w:rsidRPr="00A97CBC">
        <w:rPr>
          <w:rFonts w:ascii="標楷體" w:eastAsia="標楷體" w:hAnsi="標楷體"/>
          <w:szCs w:val="24"/>
        </w:rPr>
        <w:t>申請公司與關係企業、股東或關係人間有鉅額資金往來者，應查明其原因，及利率、收付息情形有無重大異常之情事。</w:t>
      </w:r>
    </w:p>
    <w:p w14:paraId="2A196DA5" w14:textId="77777777" w:rsidR="001158E3" w:rsidRPr="00A97CBC" w:rsidRDefault="001158E3" w:rsidP="00A97CBC">
      <w:pPr>
        <w:pStyle w:val="a7"/>
        <w:overflowPunct w:val="0"/>
        <w:snapToGrid w:val="0"/>
        <w:jc w:val="both"/>
        <w:rPr>
          <w:rFonts w:ascii="標楷體" w:eastAsia="標楷體" w:hAnsi="標楷體"/>
          <w:szCs w:val="24"/>
        </w:rPr>
      </w:pPr>
    </w:p>
    <w:p w14:paraId="2C902823" w14:textId="77777777" w:rsidR="001158E3" w:rsidRPr="00A97CBC" w:rsidRDefault="00693FE7" w:rsidP="00A97CBC">
      <w:pPr>
        <w:pStyle w:val="a7"/>
        <w:numPr>
          <w:ilvl w:val="0"/>
          <w:numId w:val="1"/>
        </w:numPr>
        <w:overflowPunct w:val="0"/>
        <w:snapToGrid w:val="0"/>
        <w:ind w:left="482" w:hanging="482"/>
        <w:jc w:val="both"/>
        <w:rPr>
          <w:rFonts w:ascii="標楷體" w:eastAsia="標楷體" w:hAnsi="標楷體"/>
          <w:szCs w:val="24"/>
        </w:rPr>
      </w:pPr>
      <w:r w:rsidRPr="00A97CBC">
        <w:rPr>
          <w:rFonts w:ascii="標楷體" w:eastAsia="標楷體" w:hAnsi="標楷體"/>
          <w:szCs w:val="24"/>
        </w:rPr>
        <w:t>推薦證券商派員實地瞭解申請公司之重要子公司營運情形者，應具體列示其是否有重大營運風險或其他重大異常情事之評估意見。</w:t>
      </w:r>
    </w:p>
    <w:p w14:paraId="31608E59" w14:textId="77777777" w:rsidR="001158E3" w:rsidRDefault="001158E3">
      <w:pPr>
        <w:pStyle w:val="a7"/>
        <w:snapToGrid w:val="0"/>
        <w:ind w:left="482"/>
        <w:jc w:val="both"/>
        <w:rPr>
          <w:rFonts w:ascii="標楷體" w:eastAsia="標楷體" w:hAnsi="標楷體"/>
          <w:szCs w:val="24"/>
        </w:rPr>
      </w:pPr>
    </w:p>
    <w:p w14:paraId="6041B8AF" w14:textId="7EB45FEC" w:rsidR="001158E3" w:rsidRDefault="00693FE7" w:rsidP="00A97CBC">
      <w:pPr>
        <w:pStyle w:val="a7"/>
        <w:numPr>
          <w:ilvl w:val="0"/>
          <w:numId w:val="1"/>
        </w:numPr>
        <w:overflowPunct w:val="0"/>
        <w:snapToGrid w:val="0"/>
        <w:ind w:left="482" w:hanging="482"/>
        <w:jc w:val="both"/>
      </w:pPr>
      <w:r>
        <w:rPr>
          <w:rFonts w:ascii="標楷體" w:eastAsia="標楷體" w:hAnsi="標楷體"/>
          <w:szCs w:val="24"/>
        </w:rPr>
        <w:lastRenderedPageBreak/>
        <w:t>法令之遵循及對公司營運影響</w:t>
      </w:r>
      <w:proofErr w:type="gramStart"/>
      <w:r>
        <w:rPr>
          <w:rFonts w:ascii="標楷體" w:eastAsia="標楷體" w:hAnsi="標楷體"/>
          <w:szCs w:val="24"/>
        </w:rPr>
        <w:t>─</w:t>
      </w:r>
      <w:proofErr w:type="gramEnd"/>
      <w:r>
        <w:rPr>
          <w:rFonts w:ascii="標楷體" w:eastAsia="標楷體" w:hAnsi="標楷體"/>
          <w:szCs w:val="24"/>
        </w:rPr>
        <w:t>外國申請公司之推薦證券商應</w:t>
      </w:r>
      <w:r>
        <w:rPr>
          <w:rFonts w:ascii="標楷體" w:eastAsia="標楷體" w:hAnsi="標楷體"/>
          <w:color w:val="000000"/>
          <w:szCs w:val="24"/>
        </w:rPr>
        <w:t>洽</w:t>
      </w:r>
      <w:r>
        <w:rPr>
          <w:rFonts w:ascii="標楷體" w:eastAsia="標楷體" w:hAnsi="標楷體"/>
          <w:szCs w:val="24"/>
        </w:rPr>
        <w:t>律師對申請公司、申請時之董事、持股超過股份總額百分之十之股東、總經理及實質負責人最近</w:t>
      </w:r>
      <w:proofErr w:type="gramStart"/>
      <w:r>
        <w:rPr>
          <w:rFonts w:ascii="標楷體" w:eastAsia="標楷體" w:hAnsi="標楷體"/>
          <w:szCs w:val="24"/>
        </w:rPr>
        <w:t>三</w:t>
      </w:r>
      <w:proofErr w:type="gramEnd"/>
      <w:r>
        <w:rPr>
          <w:rFonts w:ascii="標楷體" w:eastAsia="標楷體" w:hAnsi="標楷體"/>
          <w:szCs w:val="24"/>
        </w:rPr>
        <w:t>年內就下列事項出具之法律意見書，依據其意見，推薦證券商再就該等項目具體評估對</w:t>
      </w:r>
      <w:r>
        <w:rPr>
          <w:rFonts w:ascii="標楷體" w:eastAsia="標楷體" w:hAnsi="標楷體"/>
          <w:kern w:val="0"/>
          <w:szCs w:val="24"/>
        </w:rPr>
        <w:t>申請</w:t>
      </w:r>
      <w:r>
        <w:rPr>
          <w:rFonts w:ascii="標楷體" w:eastAsia="標楷體" w:hAnsi="標楷體"/>
          <w:szCs w:val="24"/>
        </w:rPr>
        <w:t>公司營運影響及因應之道。</w:t>
      </w:r>
    </w:p>
    <w:p w14:paraId="5456EEEF" w14:textId="77777777" w:rsidR="001158E3" w:rsidRDefault="00693FE7" w:rsidP="00A97CBC">
      <w:pPr>
        <w:pStyle w:val="a7"/>
        <w:numPr>
          <w:ilvl w:val="1"/>
          <w:numId w:val="1"/>
        </w:numPr>
        <w:overflowPunct w:val="0"/>
        <w:snapToGrid w:val="0"/>
        <w:ind w:left="709" w:hanging="482"/>
        <w:jc w:val="both"/>
        <w:rPr>
          <w:rFonts w:ascii="標楷體" w:eastAsia="標楷體" w:hAnsi="標楷體"/>
          <w:szCs w:val="24"/>
        </w:rPr>
      </w:pPr>
      <w:r>
        <w:rPr>
          <w:rFonts w:ascii="標楷體" w:eastAsia="標楷體" w:hAnsi="標楷體"/>
          <w:szCs w:val="24"/>
        </w:rPr>
        <w:t>申請公司是否違反相關法令規章</w:t>
      </w:r>
    </w:p>
    <w:p w14:paraId="26192D1A" w14:textId="4568CF57" w:rsidR="001158E3" w:rsidRDefault="00693FE7" w:rsidP="00A97CBC">
      <w:pPr>
        <w:pStyle w:val="a7"/>
        <w:numPr>
          <w:ilvl w:val="2"/>
          <w:numId w:val="1"/>
        </w:numPr>
        <w:overflowPunct w:val="0"/>
        <w:snapToGrid w:val="0"/>
        <w:ind w:left="993" w:hanging="284"/>
        <w:jc w:val="both"/>
        <w:rPr>
          <w:rFonts w:ascii="標楷體" w:eastAsia="標楷體" w:hAnsi="標楷體"/>
          <w:szCs w:val="24"/>
        </w:rPr>
      </w:pPr>
      <w:r>
        <w:rPr>
          <w:rFonts w:ascii="標楷體" w:eastAsia="標楷體" w:hAnsi="標楷體"/>
          <w:szCs w:val="24"/>
        </w:rPr>
        <w:t>是否違反註冊地國或主要營運地國勞工安全衛生相關法令而被處以部分或全部停工，且情節重大者。</w:t>
      </w:r>
    </w:p>
    <w:p w14:paraId="2EE415F7" w14:textId="60E715D8" w:rsidR="001158E3" w:rsidRDefault="00693FE7" w:rsidP="00A97CBC">
      <w:pPr>
        <w:pStyle w:val="a7"/>
        <w:numPr>
          <w:ilvl w:val="2"/>
          <w:numId w:val="1"/>
        </w:numPr>
        <w:overflowPunct w:val="0"/>
        <w:snapToGrid w:val="0"/>
        <w:ind w:left="993" w:hanging="284"/>
        <w:jc w:val="both"/>
        <w:rPr>
          <w:rFonts w:ascii="標楷體" w:eastAsia="標楷體" w:hAnsi="標楷體"/>
          <w:szCs w:val="24"/>
        </w:rPr>
      </w:pPr>
      <w:r>
        <w:rPr>
          <w:rFonts w:ascii="標楷體" w:eastAsia="標楷體" w:hAnsi="標楷體"/>
          <w:szCs w:val="24"/>
        </w:rPr>
        <w:t>是否違反註冊地國或主要營運地國污染防治之相關規定，且情節重大者。</w:t>
      </w:r>
    </w:p>
    <w:p w14:paraId="7F2B5E32" w14:textId="1C3DE61F" w:rsidR="001158E3" w:rsidRDefault="00693FE7" w:rsidP="00A97CBC">
      <w:pPr>
        <w:pStyle w:val="a7"/>
        <w:numPr>
          <w:ilvl w:val="2"/>
          <w:numId w:val="1"/>
        </w:numPr>
        <w:overflowPunct w:val="0"/>
        <w:snapToGrid w:val="0"/>
        <w:ind w:left="993" w:hanging="284"/>
        <w:jc w:val="both"/>
        <w:rPr>
          <w:rFonts w:ascii="標楷體" w:eastAsia="標楷體" w:hAnsi="標楷體"/>
          <w:szCs w:val="24"/>
        </w:rPr>
      </w:pPr>
      <w:r>
        <w:rPr>
          <w:rFonts w:ascii="標楷體" w:eastAsia="標楷體" w:hAnsi="標楷體"/>
          <w:szCs w:val="24"/>
        </w:rPr>
        <w:t>其他法令規章。</w:t>
      </w:r>
    </w:p>
    <w:p w14:paraId="3DC9B095" w14:textId="77777777" w:rsidR="001158E3" w:rsidRDefault="001158E3" w:rsidP="00A97CBC">
      <w:pPr>
        <w:pStyle w:val="a7"/>
        <w:overflowPunct w:val="0"/>
        <w:snapToGrid w:val="0"/>
        <w:ind w:left="709"/>
        <w:jc w:val="both"/>
        <w:rPr>
          <w:rFonts w:ascii="標楷體" w:eastAsia="標楷體" w:hAnsi="標楷體"/>
          <w:szCs w:val="24"/>
        </w:rPr>
      </w:pPr>
    </w:p>
    <w:p w14:paraId="7D8806E3" w14:textId="77777777" w:rsidR="001158E3" w:rsidRDefault="00693FE7" w:rsidP="00A97CBC">
      <w:pPr>
        <w:pStyle w:val="a7"/>
        <w:numPr>
          <w:ilvl w:val="1"/>
          <w:numId w:val="1"/>
        </w:numPr>
        <w:overflowPunct w:val="0"/>
        <w:snapToGrid w:val="0"/>
        <w:ind w:left="709" w:hanging="482"/>
        <w:jc w:val="both"/>
        <w:rPr>
          <w:rFonts w:ascii="標楷體" w:eastAsia="標楷體" w:hAnsi="標楷體"/>
          <w:szCs w:val="24"/>
        </w:rPr>
      </w:pPr>
      <w:r>
        <w:rPr>
          <w:rFonts w:ascii="標楷體" w:eastAsia="標楷體" w:hAnsi="標楷體"/>
          <w:szCs w:val="24"/>
        </w:rPr>
        <w:t>股東權益保障事項</w:t>
      </w:r>
    </w:p>
    <w:p w14:paraId="667D2C99" w14:textId="393EC4D1" w:rsidR="001158E3" w:rsidRDefault="00693FE7" w:rsidP="00A97CBC">
      <w:pPr>
        <w:pStyle w:val="a7"/>
        <w:numPr>
          <w:ilvl w:val="2"/>
          <w:numId w:val="1"/>
        </w:numPr>
        <w:overflowPunct w:val="0"/>
        <w:snapToGrid w:val="0"/>
        <w:ind w:left="993" w:hanging="284"/>
        <w:jc w:val="both"/>
        <w:rPr>
          <w:rFonts w:ascii="標楷體" w:eastAsia="標楷體" w:hAnsi="標楷體"/>
          <w:szCs w:val="24"/>
        </w:rPr>
      </w:pPr>
      <w:r>
        <w:rPr>
          <w:rFonts w:ascii="標楷體" w:eastAsia="標楷體" w:hAnsi="標楷體"/>
          <w:szCs w:val="24"/>
        </w:rPr>
        <w:t>註冊地國法令限制股東會召開地點、投票制度或其他股東權行使時，是否影響申請公司股東權益之行使；如是，應說明保障我國境內股東權行使之措施。</w:t>
      </w:r>
    </w:p>
    <w:p w14:paraId="6B24C66A" w14:textId="38115D4C" w:rsidR="001158E3" w:rsidRDefault="00693FE7" w:rsidP="00A97CBC">
      <w:pPr>
        <w:pStyle w:val="a7"/>
        <w:numPr>
          <w:ilvl w:val="2"/>
          <w:numId w:val="1"/>
        </w:numPr>
        <w:overflowPunct w:val="0"/>
        <w:snapToGrid w:val="0"/>
        <w:ind w:left="993" w:hanging="284"/>
        <w:jc w:val="both"/>
        <w:rPr>
          <w:rFonts w:ascii="標楷體" w:eastAsia="標楷體" w:hAnsi="標楷體"/>
          <w:szCs w:val="24"/>
        </w:rPr>
      </w:pPr>
      <w:r>
        <w:rPr>
          <w:rFonts w:ascii="標楷體" w:eastAsia="標楷體" w:hAnsi="標楷體"/>
          <w:szCs w:val="24"/>
        </w:rPr>
        <w:t>是否於公司章程或組織文件中訂定保障行使股東權益之具體內容。</w:t>
      </w:r>
    </w:p>
    <w:p w14:paraId="7CDCD2BB" w14:textId="77777777" w:rsidR="001158E3" w:rsidRDefault="001158E3" w:rsidP="00A97CBC">
      <w:pPr>
        <w:pStyle w:val="a7"/>
        <w:overflowPunct w:val="0"/>
        <w:snapToGrid w:val="0"/>
        <w:ind w:left="709"/>
        <w:jc w:val="both"/>
        <w:rPr>
          <w:rFonts w:ascii="標楷體" w:eastAsia="標楷體" w:hAnsi="標楷體"/>
          <w:szCs w:val="24"/>
        </w:rPr>
      </w:pPr>
    </w:p>
    <w:p w14:paraId="3E8D4473" w14:textId="77777777" w:rsidR="001158E3" w:rsidRDefault="00693FE7" w:rsidP="00A97CBC">
      <w:pPr>
        <w:pStyle w:val="a7"/>
        <w:numPr>
          <w:ilvl w:val="1"/>
          <w:numId w:val="1"/>
        </w:numPr>
        <w:overflowPunct w:val="0"/>
        <w:snapToGrid w:val="0"/>
        <w:ind w:left="709" w:hanging="482"/>
        <w:jc w:val="both"/>
        <w:rPr>
          <w:rFonts w:ascii="標楷體" w:eastAsia="標楷體" w:hAnsi="標楷體"/>
          <w:szCs w:val="24"/>
        </w:rPr>
      </w:pPr>
      <w:r>
        <w:rPr>
          <w:rFonts w:ascii="標楷體" w:eastAsia="標楷體" w:hAnsi="標楷體"/>
          <w:szCs w:val="24"/>
        </w:rPr>
        <w:t>是否與他人簽訂對其營運有重大限制或顯不合理之契約。</w:t>
      </w:r>
    </w:p>
    <w:p w14:paraId="4C87B4A3" w14:textId="77777777" w:rsidR="001158E3" w:rsidRDefault="001158E3" w:rsidP="00A97CBC">
      <w:pPr>
        <w:pStyle w:val="a7"/>
        <w:overflowPunct w:val="0"/>
        <w:snapToGrid w:val="0"/>
        <w:ind w:left="709"/>
        <w:jc w:val="both"/>
        <w:rPr>
          <w:rFonts w:ascii="標楷體" w:eastAsia="標楷體" w:hAnsi="標楷體"/>
          <w:szCs w:val="24"/>
        </w:rPr>
      </w:pPr>
    </w:p>
    <w:p w14:paraId="0D29A849" w14:textId="77777777" w:rsidR="001158E3" w:rsidRDefault="00693FE7" w:rsidP="00A97CBC">
      <w:pPr>
        <w:pStyle w:val="a7"/>
        <w:numPr>
          <w:ilvl w:val="1"/>
          <w:numId w:val="1"/>
        </w:numPr>
        <w:overflowPunct w:val="0"/>
        <w:snapToGrid w:val="0"/>
        <w:ind w:left="709" w:hanging="482"/>
        <w:jc w:val="both"/>
        <w:rPr>
          <w:rFonts w:ascii="標楷體" w:eastAsia="標楷體" w:hAnsi="標楷體"/>
          <w:szCs w:val="24"/>
        </w:rPr>
      </w:pPr>
      <w:r>
        <w:rPr>
          <w:rFonts w:ascii="標楷體" w:eastAsia="標楷體" w:hAnsi="標楷體"/>
          <w:szCs w:val="24"/>
        </w:rPr>
        <w:t>申請公司是否有重大勞資糾紛事件。</w:t>
      </w:r>
    </w:p>
    <w:p w14:paraId="1229AE8C" w14:textId="77777777" w:rsidR="001158E3" w:rsidRDefault="001158E3" w:rsidP="00A97CBC">
      <w:pPr>
        <w:pStyle w:val="a7"/>
        <w:overflowPunct w:val="0"/>
        <w:snapToGrid w:val="0"/>
        <w:ind w:left="709"/>
        <w:jc w:val="both"/>
        <w:rPr>
          <w:rFonts w:ascii="標楷體" w:eastAsia="標楷體" w:hAnsi="標楷體"/>
          <w:szCs w:val="24"/>
        </w:rPr>
      </w:pPr>
    </w:p>
    <w:p w14:paraId="6419E2E9" w14:textId="68D0CA75" w:rsidR="001158E3" w:rsidRDefault="00693FE7" w:rsidP="00A97CBC">
      <w:pPr>
        <w:pStyle w:val="a7"/>
        <w:numPr>
          <w:ilvl w:val="1"/>
          <w:numId w:val="1"/>
        </w:numPr>
        <w:overflowPunct w:val="0"/>
        <w:snapToGrid w:val="0"/>
        <w:ind w:left="709" w:hanging="482"/>
        <w:jc w:val="both"/>
      </w:pPr>
      <w:r>
        <w:rPr>
          <w:rFonts w:ascii="標楷體" w:eastAsia="標楷體" w:hAnsi="標楷體"/>
          <w:szCs w:val="24"/>
        </w:rPr>
        <w:t>申請時之董事、持股超過股份總額百分之十之股東、總經理及實質負責人是否違反相關法令，而有違誠信原則或影響職務之行使。</w:t>
      </w:r>
    </w:p>
    <w:p w14:paraId="5022EB5F" w14:textId="77777777" w:rsidR="001158E3" w:rsidRDefault="001158E3" w:rsidP="00A97CBC">
      <w:pPr>
        <w:pStyle w:val="a7"/>
        <w:overflowPunct w:val="0"/>
        <w:snapToGrid w:val="0"/>
        <w:ind w:left="709"/>
        <w:jc w:val="both"/>
        <w:rPr>
          <w:rFonts w:ascii="標楷體" w:eastAsia="標楷體" w:hAnsi="標楷體"/>
          <w:szCs w:val="24"/>
        </w:rPr>
      </w:pPr>
    </w:p>
    <w:p w14:paraId="66AC7679" w14:textId="77777777" w:rsidR="001158E3" w:rsidRDefault="00693FE7" w:rsidP="00A97CBC">
      <w:pPr>
        <w:pStyle w:val="a7"/>
        <w:numPr>
          <w:ilvl w:val="1"/>
          <w:numId w:val="1"/>
        </w:numPr>
        <w:overflowPunct w:val="0"/>
        <w:snapToGrid w:val="0"/>
        <w:ind w:left="709" w:hanging="482"/>
        <w:jc w:val="both"/>
        <w:rPr>
          <w:rFonts w:ascii="標楷體" w:eastAsia="標楷體" w:hAnsi="標楷體"/>
          <w:szCs w:val="24"/>
        </w:rPr>
      </w:pPr>
      <w:r>
        <w:rPr>
          <w:rFonts w:ascii="標楷體" w:eastAsia="標楷體" w:hAnsi="標楷體"/>
          <w:szCs w:val="24"/>
        </w:rPr>
        <w:t>是否違反著作權、專利權、商標權或其他智慧財產權之情事。</w:t>
      </w:r>
    </w:p>
    <w:p w14:paraId="0149ED6E" w14:textId="77777777" w:rsidR="001158E3" w:rsidRDefault="001158E3" w:rsidP="00A97CBC">
      <w:pPr>
        <w:pStyle w:val="a7"/>
        <w:overflowPunct w:val="0"/>
        <w:snapToGrid w:val="0"/>
        <w:ind w:left="709"/>
        <w:jc w:val="both"/>
        <w:rPr>
          <w:rFonts w:ascii="標楷體" w:eastAsia="標楷體" w:hAnsi="標楷體"/>
          <w:szCs w:val="24"/>
        </w:rPr>
      </w:pPr>
    </w:p>
    <w:p w14:paraId="0C2656E7" w14:textId="77777777" w:rsidR="001158E3" w:rsidRDefault="00693FE7" w:rsidP="00A97CBC">
      <w:pPr>
        <w:pStyle w:val="a7"/>
        <w:numPr>
          <w:ilvl w:val="1"/>
          <w:numId w:val="1"/>
        </w:numPr>
        <w:overflowPunct w:val="0"/>
        <w:snapToGrid w:val="0"/>
        <w:ind w:left="709" w:hanging="482"/>
        <w:jc w:val="both"/>
        <w:rPr>
          <w:rFonts w:ascii="標楷體" w:eastAsia="標楷體" w:hAnsi="標楷體"/>
          <w:szCs w:val="24"/>
        </w:rPr>
      </w:pPr>
      <w:proofErr w:type="gramStart"/>
      <w:r>
        <w:rPr>
          <w:rFonts w:ascii="標楷體" w:eastAsia="標楷體" w:hAnsi="標楷體"/>
          <w:szCs w:val="24"/>
        </w:rPr>
        <w:t>繫</w:t>
      </w:r>
      <w:proofErr w:type="gramEnd"/>
      <w:r>
        <w:rPr>
          <w:rFonts w:ascii="標楷體" w:eastAsia="標楷體" w:hAnsi="標楷體"/>
          <w:szCs w:val="24"/>
        </w:rPr>
        <w:t>屬中之重大訴訟、非</w:t>
      </w:r>
      <w:proofErr w:type="gramStart"/>
      <w:r>
        <w:rPr>
          <w:rFonts w:ascii="標楷體" w:eastAsia="標楷體" w:hAnsi="標楷體"/>
          <w:szCs w:val="24"/>
        </w:rPr>
        <w:t>訟</w:t>
      </w:r>
      <w:proofErr w:type="gramEnd"/>
      <w:r>
        <w:rPr>
          <w:rFonts w:ascii="標楷體" w:eastAsia="標楷體" w:hAnsi="標楷體"/>
          <w:szCs w:val="24"/>
        </w:rPr>
        <w:t>或行政爭訟事件。</w:t>
      </w:r>
    </w:p>
    <w:p w14:paraId="35E08967" w14:textId="77777777" w:rsidR="001158E3" w:rsidRDefault="001158E3" w:rsidP="00A97CBC">
      <w:pPr>
        <w:pStyle w:val="a7"/>
        <w:overflowPunct w:val="0"/>
        <w:snapToGrid w:val="0"/>
        <w:jc w:val="both"/>
        <w:rPr>
          <w:rFonts w:ascii="標楷體" w:eastAsia="標楷體" w:hAnsi="標楷體"/>
          <w:szCs w:val="24"/>
        </w:rPr>
      </w:pPr>
    </w:p>
    <w:p w14:paraId="0203FD37" w14:textId="58B207FA" w:rsidR="001158E3" w:rsidRPr="001B5CB0" w:rsidRDefault="00693FE7" w:rsidP="00A97CBC">
      <w:pPr>
        <w:pStyle w:val="a7"/>
        <w:numPr>
          <w:ilvl w:val="0"/>
          <w:numId w:val="1"/>
        </w:numPr>
        <w:overflowPunct w:val="0"/>
        <w:snapToGrid w:val="0"/>
        <w:ind w:left="482" w:hanging="482"/>
        <w:jc w:val="both"/>
      </w:pPr>
      <w:r>
        <w:rPr>
          <w:rFonts w:ascii="標楷體" w:eastAsia="標楷體" w:hAnsi="標楷體"/>
          <w:szCs w:val="24"/>
        </w:rPr>
        <w:t>(</w:t>
      </w:r>
      <w:proofErr w:type="gramStart"/>
      <w:r>
        <w:rPr>
          <w:rFonts w:ascii="標楷體" w:eastAsia="標楷體" w:hAnsi="標楷體"/>
          <w:szCs w:val="24"/>
        </w:rPr>
        <w:t>一</w:t>
      </w:r>
      <w:proofErr w:type="gramEnd"/>
      <w:r>
        <w:rPr>
          <w:rFonts w:ascii="標楷體" w:eastAsia="標楷體" w:hAnsi="標楷體"/>
          <w:szCs w:val="24"/>
        </w:rPr>
        <w:t>)列明依</w:t>
      </w:r>
      <w:r>
        <w:rPr>
          <w:rFonts w:ascii="標楷體" w:eastAsia="標楷體" w:hAnsi="標楷體"/>
          <w:kern w:val="0"/>
          <w:szCs w:val="24"/>
        </w:rPr>
        <w:t>「</w:t>
      </w:r>
      <w:r w:rsidR="00BC6207" w:rsidRPr="001B5CB0">
        <w:rPr>
          <w:rFonts w:ascii="標楷體" w:eastAsia="標楷體" w:hAnsi="標楷體" w:hint="eastAsia"/>
          <w:kern w:val="0"/>
          <w:szCs w:val="24"/>
        </w:rPr>
        <w:t>財團法人中華民國證券櫃檯買賣中心</w:t>
      </w:r>
      <w:r w:rsidRPr="001B5CB0">
        <w:rPr>
          <w:rFonts w:ascii="標楷體" w:eastAsia="標楷體" w:hAnsi="標楷體"/>
          <w:kern w:val="0"/>
          <w:szCs w:val="24"/>
        </w:rPr>
        <w:t>外國有價證券櫃檯買賣審查準則」第九條第一項各款所列不宜上櫃情事之評估意見。</w:t>
      </w:r>
    </w:p>
    <w:p w14:paraId="72BB33DC" w14:textId="074B2FD2" w:rsidR="00BC6207" w:rsidRPr="001B5CB0" w:rsidRDefault="00BC6207" w:rsidP="00A97CBC">
      <w:pPr>
        <w:pStyle w:val="a7"/>
        <w:overflowPunct w:val="0"/>
        <w:snapToGrid w:val="0"/>
        <w:ind w:left="482"/>
        <w:jc w:val="both"/>
        <w:rPr>
          <w:rFonts w:ascii="Times New Roman" w:eastAsia="標楷體" w:hAnsi="Times New Roman"/>
          <w:szCs w:val="24"/>
        </w:rPr>
      </w:pPr>
      <w:r w:rsidRPr="001B5CB0">
        <w:rPr>
          <w:rFonts w:ascii="Times New Roman" w:eastAsia="標楷體" w:hAnsi="Times New Roman" w:hint="eastAsia"/>
          <w:szCs w:val="24"/>
        </w:rPr>
        <w:t>評估申請公司有「</w:t>
      </w:r>
      <w:r w:rsidR="007B1AC8" w:rsidRPr="001B5CB0">
        <w:rPr>
          <w:rFonts w:ascii="標楷體" w:eastAsia="標楷體" w:hAnsi="標楷體" w:hint="eastAsia"/>
          <w:kern w:val="0"/>
          <w:szCs w:val="24"/>
        </w:rPr>
        <w:t>財團法人中華民國證券櫃檯買賣中心</w:t>
      </w:r>
      <w:r w:rsidRPr="001B5CB0">
        <w:rPr>
          <w:rFonts w:ascii="Times New Roman" w:eastAsia="標楷體" w:hAnsi="Times New Roman" w:hint="eastAsia"/>
          <w:szCs w:val="24"/>
        </w:rPr>
        <w:t>外國有價證券櫃檯買賣審查準則」第九條第一項第七款第二目規定情事時，另應列示說明下列事項：</w:t>
      </w:r>
    </w:p>
    <w:p w14:paraId="2CA28C09" w14:textId="77777777" w:rsidR="007B1AC8" w:rsidRPr="001B5CB0" w:rsidRDefault="00BC6207" w:rsidP="00A97CBC">
      <w:pPr>
        <w:pStyle w:val="a7"/>
        <w:numPr>
          <w:ilvl w:val="2"/>
          <w:numId w:val="1"/>
        </w:numPr>
        <w:overflowPunct w:val="0"/>
        <w:snapToGrid w:val="0"/>
        <w:ind w:left="766" w:hanging="284"/>
        <w:jc w:val="both"/>
        <w:rPr>
          <w:rFonts w:ascii="Times New Roman" w:eastAsia="標楷體" w:hAnsi="Times New Roman"/>
          <w:szCs w:val="24"/>
        </w:rPr>
      </w:pPr>
      <w:r w:rsidRPr="001B5CB0">
        <w:rPr>
          <w:rFonts w:ascii="Times New Roman" w:eastAsia="標楷體" w:hAnsi="Times New Roman" w:hint="eastAsia"/>
          <w:szCs w:val="24"/>
        </w:rPr>
        <w:t>上櫃（市）公司最近</w:t>
      </w:r>
      <w:proofErr w:type="gramStart"/>
      <w:r w:rsidRPr="001B5CB0">
        <w:rPr>
          <w:rFonts w:ascii="Times New Roman" w:eastAsia="標楷體" w:hAnsi="Times New Roman" w:hint="eastAsia"/>
          <w:szCs w:val="24"/>
        </w:rPr>
        <w:t>三</w:t>
      </w:r>
      <w:proofErr w:type="gramEnd"/>
      <w:r w:rsidRPr="001B5CB0">
        <w:rPr>
          <w:rFonts w:ascii="Times New Roman" w:eastAsia="標楷體" w:hAnsi="Times New Roman" w:hint="eastAsia"/>
          <w:szCs w:val="24"/>
        </w:rPr>
        <w:t>年內歷次降低對申請公司持股之緣由、比例、股權受讓對象</w:t>
      </w:r>
      <w:proofErr w:type="gramStart"/>
      <w:r w:rsidRPr="001B5CB0">
        <w:rPr>
          <w:rFonts w:ascii="Times New Roman" w:eastAsia="標楷體" w:hAnsi="Times New Roman" w:hint="eastAsia"/>
          <w:szCs w:val="24"/>
        </w:rPr>
        <w:t>或所洽之</w:t>
      </w:r>
      <w:proofErr w:type="gramEnd"/>
      <w:r w:rsidRPr="001B5CB0">
        <w:rPr>
          <w:rFonts w:ascii="Times New Roman" w:eastAsia="標楷體" w:hAnsi="Times New Roman" w:hint="eastAsia"/>
          <w:szCs w:val="24"/>
        </w:rPr>
        <w:t>特定對象、價格及對上櫃（市）公司股東權益之影響等事項，是否經上櫃（市）公司審計委員會審議及董事會決議並提報股東會。如未設有審計委員會者，是否經董事會全體董事三分之二以上之同意。</w:t>
      </w:r>
    </w:p>
    <w:p w14:paraId="11BA2BDC" w14:textId="144EC32F" w:rsidR="00BC6207" w:rsidRPr="007B1AC8" w:rsidRDefault="00BC6207" w:rsidP="00A97CBC">
      <w:pPr>
        <w:pStyle w:val="a7"/>
        <w:numPr>
          <w:ilvl w:val="2"/>
          <w:numId w:val="1"/>
        </w:numPr>
        <w:overflowPunct w:val="0"/>
        <w:snapToGrid w:val="0"/>
        <w:ind w:left="766" w:hanging="284"/>
        <w:jc w:val="both"/>
        <w:rPr>
          <w:rFonts w:ascii="Times New Roman" w:eastAsia="標楷體" w:hAnsi="Times New Roman"/>
          <w:color w:val="FF0000"/>
          <w:szCs w:val="24"/>
          <w:u w:val="single"/>
        </w:rPr>
      </w:pPr>
      <w:r w:rsidRPr="001B5CB0">
        <w:rPr>
          <w:rFonts w:ascii="Times New Roman" w:eastAsia="標楷體" w:hAnsi="Times New Roman" w:hint="eastAsia"/>
          <w:szCs w:val="24"/>
        </w:rPr>
        <w:t>上櫃（市）公司最近</w:t>
      </w:r>
      <w:proofErr w:type="gramStart"/>
      <w:r w:rsidRPr="001B5CB0">
        <w:rPr>
          <w:rFonts w:ascii="Times New Roman" w:eastAsia="標楷體" w:hAnsi="Times New Roman" w:hint="eastAsia"/>
          <w:szCs w:val="24"/>
        </w:rPr>
        <w:t>三</w:t>
      </w:r>
      <w:proofErr w:type="gramEnd"/>
      <w:r w:rsidRPr="001B5CB0">
        <w:rPr>
          <w:rFonts w:ascii="Times New Roman" w:eastAsia="標楷體" w:hAnsi="Times New Roman" w:hint="eastAsia"/>
          <w:szCs w:val="24"/>
        </w:rPr>
        <w:t>年內降低對申請公司持股係因放棄認購申請公司現金增資股數者，就申請公司歷次現金增資價格訂定依據、</w:t>
      </w:r>
      <w:proofErr w:type="gramStart"/>
      <w:r w:rsidRPr="001B5CB0">
        <w:rPr>
          <w:rFonts w:ascii="Times New Roman" w:eastAsia="標楷體" w:hAnsi="Times New Roman" w:hint="eastAsia"/>
          <w:szCs w:val="24"/>
        </w:rPr>
        <w:t>所洽特定</w:t>
      </w:r>
      <w:proofErr w:type="gramEnd"/>
      <w:r w:rsidRPr="001B5CB0">
        <w:rPr>
          <w:rFonts w:ascii="Times New Roman" w:eastAsia="標楷體" w:hAnsi="Times New Roman" w:hint="eastAsia"/>
          <w:szCs w:val="24"/>
        </w:rPr>
        <w:t>對象標準，是否取具獨立專家對現金增資發行新股價格合理性之意見書，經申請公司審計委員會或特別委員會審議及董事會決議，並依其相關釋股作業程序執行。特別委員會之組成、資格、審議方法及其他相關事項是否已</w:t>
      </w:r>
      <w:proofErr w:type="gramStart"/>
      <w:r w:rsidRPr="001B5CB0">
        <w:rPr>
          <w:rFonts w:ascii="Times New Roman" w:eastAsia="標楷體" w:hAnsi="Times New Roman" w:hint="eastAsia"/>
          <w:szCs w:val="24"/>
        </w:rPr>
        <w:t>準</w:t>
      </w:r>
      <w:proofErr w:type="gramEnd"/>
      <w:r w:rsidRPr="001B5CB0">
        <w:rPr>
          <w:rFonts w:ascii="Times New Roman" w:eastAsia="標楷體" w:hAnsi="Times New Roman" w:hint="eastAsia"/>
          <w:szCs w:val="24"/>
        </w:rPr>
        <w:t>用公開發行公司併購特別委員會設置及相關事項辦法有關規定辦理。如未設有審計委員會或特別委員會者，是否經董事會全體董事三分之二以上之同意。</w:t>
      </w:r>
    </w:p>
    <w:p w14:paraId="6E15D908" w14:textId="77777777" w:rsidR="001158E3" w:rsidRDefault="00693FE7" w:rsidP="00A97CBC">
      <w:pPr>
        <w:pStyle w:val="a7"/>
        <w:overflowPunct w:val="0"/>
        <w:snapToGrid w:val="0"/>
        <w:ind w:left="490" w:hanging="462"/>
        <w:jc w:val="both"/>
      </w:pPr>
      <w:r>
        <w:rPr>
          <w:rFonts w:ascii="標楷體" w:eastAsia="標楷體" w:hAnsi="標楷體"/>
          <w:color w:val="000000"/>
          <w:kern w:val="0"/>
          <w:szCs w:val="24"/>
        </w:rPr>
        <w:t xml:space="preserve">    </w:t>
      </w:r>
      <w:r>
        <w:rPr>
          <w:rFonts w:ascii="標楷體" w:eastAsia="標楷體" w:hAnsi="標楷體"/>
          <w:color w:val="000000"/>
          <w:szCs w:val="24"/>
        </w:rPr>
        <w:t>(二)列明申請公司設置之薪資報酬委員會，其成員之專業資格、職權行使及相關事項是否依我國證券法令規定辦理之評估意見。</w:t>
      </w:r>
    </w:p>
    <w:p w14:paraId="5733EEA2" w14:textId="77777777" w:rsidR="001158E3" w:rsidRDefault="00693FE7" w:rsidP="00A97CBC">
      <w:pPr>
        <w:pStyle w:val="a7"/>
        <w:overflowPunct w:val="0"/>
        <w:snapToGrid w:val="0"/>
        <w:ind w:left="28"/>
        <w:jc w:val="both"/>
        <w:rPr>
          <w:rFonts w:ascii="標楷體" w:eastAsia="標楷體" w:hAnsi="標楷體"/>
          <w:szCs w:val="24"/>
        </w:rPr>
      </w:pPr>
      <w:r>
        <w:rPr>
          <w:rFonts w:ascii="標楷體" w:eastAsia="標楷體" w:hAnsi="標楷體"/>
          <w:szCs w:val="24"/>
        </w:rPr>
        <w:t xml:space="preserve">      　　　　　　　　　　　　　　　　　　　　　　　　　　　　　　　      　　　　　　　　　　　　　　　　　　　　　　　　　　　　　　　　</w:t>
      </w:r>
    </w:p>
    <w:p w14:paraId="7E56AED0" w14:textId="341683C8" w:rsidR="001158E3" w:rsidRDefault="00693FE7" w:rsidP="00A97CBC">
      <w:pPr>
        <w:pStyle w:val="a7"/>
        <w:numPr>
          <w:ilvl w:val="0"/>
          <w:numId w:val="1"/>
        </w:numPr>
        <w:overflowPunct w:val="0"/>
        <w:snapToGrid w:val="0"/>
        <w:ind w:left="482" w:hanging="482"/>
        <w:jc w:val="both"/>
        <w:rPr>
          <w:rFonts w:ascii="標楷體" w:eastAsia="標楷體" w:hAnsi="標楷體"/>
          <w:szCs w:val="24"/>
        </w:rPr>
      </w:pPr>
      <w:r>
        <w:rPr>
          <w:rFonts w:ascii="標楷體" w:eastAsia="標楷體" w:hAnsi="標楷體"/>
          <w:szCs w:val="24"/>
        </w:rPr>
        <w:lastRenderedPageBreak/>
        <w:t>評估申請公司之公司治理</w:t>
      </w:r>
      <w:r w:rsidR="009B2BE4" w:rsidRPr="009B2BE4">
        <w:rPr>
          <w:rFonts w:ascii="標楷體" w:eastAsia="標楷體" w:hAnsi="標楷體" w:hint="eastAsia"/>
          <w:color w:val="FF0000"/>
          <w:szCs w:val="24"/>
          <w:u w:val="single"/>
        </w:rPr>
        <w:t>評鑑</w:t>
      </w:r>
      <w:r>
        <w:rPr>
          <w:rFonts w:ascii="標楷體" w:eastAsia="標楷體" w:hAnsi="標楷體"/>
          <w:szCs w:val="24"/>
        </w:rPr>
        <w:t>自評報告是否允當表達其公司治理運作情形。</w:t>
      </w:r>
    </w:p>
    <w:p w14:paraId="5E7D6C54" w14:textId="77777777" w:rsidR="001158E3" w:rsidRDefault="00693FE7" w:rsidP="00A97CBC">
      <w:pPr>
        <w:pStyle w:val="a7"/>
        <w:overflowPunct w:val="0"/>
        <w:snapToGrid w:val="0"/>
        <w:ind w:left="28"/>
        <w:jc w:val="both"/>
        <w:rPr>
          <w:rFonts w:ascii="標楷體" w:eastAsia="標楷體" w:hAnsi="標楷體"/>
          <w:szCs w:val="24"/>
        </w:rPr>
      </w:pPr>
      <w:r>
        <w:rPr>
          <w:rFonts w:ascii="標楷體" w:eastAsia="標楷體" w:hAnsi="標楷體"/>
          <w:szCs w:val="24"/>
        </w:rPr>
        <w:t xml:space="preserve">      　　　　　　　　　　　　　　　　　　　　　　　　　　　　　　　　      　　　　　　　　　　　　　　　　　　　　　　　　　　　　　　　　</w:t>
      </w:r>
    </w:p>
    <w:p w14:paraId="0CB1BBA5" w14:textId="69E44D62" w:rsidR="001158E3" w:rsidRDefault="00693FE7" w:rsidP="00A97CBC">
      <w:pPr>
        <w:pStyle w:val="a7"/>
        <w:numPr>
          <w:ilvl w:val="0"/>
          <w:numId w:val="1"/>
        </w:numPr>
        <w:overflowPunct w:val="0"/>
        <w:snapToGrid w:val="0"/>
        <w:ind w:left="737" w:hanging="737"/>
        <w:jc w:val="both"/>
      </w:pPr>
      <w:r>
        <w:rPr>
          <w:rFonts w:ascii="標楷體" w:eastAsia="標楷體" w:hAnsi="標楷體"/>
          <w:szCs w:val="24"/>
        </w:rPr>
        <w:t>(</w:t>
      </w:r>
      <w:proofErr w:type="gramStart"/>
      <w:r>
        <w:rPr>
          <w:rFonts w:ascii="標楷體" w:eastAsia="標楷體" w:hAnsi="標楷體"/>
          <w:szCs w:val="24"/>
        </w:rPr>
        <w:t>一</w:t>
      </w:r>
      <w:proofErr w:type="gramEnd"/>
      <w:r>
        <w:rPr>
          <w:rFonts w:ascii="標楷體" w:eastAsia="標楷體" w:hAnsi="標楷體"/>
          <w:szCs w:val="24"/>
        </w:rPr>
        <w:t>)評估外國申請公司</w:t>
      </w:r>
      <w:r>
        <w:rPr>
          <w:rFonts w:ascii="標楷體" w:eastAsia="標楷體" w:hAnsi="標楷體"/>
          <w:kern w:val="0"/>
          <w:szCs w:val="24"/>
        </w:rPr>
        <w:t>是否符合「</w:t>
      </w:r>
      <w:r w:rsidR="00A97CBC" w:rsidRPr="001B5CB0">
        <w:rPr>
          <w:rFonts w:ascii="標楷體" w:eastAsia="標楷體" w:hAnsi="標楷體" w:hint="eastAsia"/>
          <w:kern w:val="0"/>
          <w:szCs w:val="24"/>
        </w:rPr>
        <w:t>財團法人中華民國證券櫃檯買賣中心</w:t>
      </w:r>
      <w:r>
        <w:rPr>
          <w:rFonts w:ascii="標楷體" w:eastAsia="標楷體" w:hAnsi="標楷體"/>
          <w:kern w:val="0"/>
          <w:szCs w:val="24"/>
        </w:rPr>
        <w:t>外國有價證券櫃檯買賣審查準則」第十六條至第十九條有關集團企業及第二十條至第二十</w:t>
      </w:r>
      <w:r w:rsidR="0019180B" w:rsidRPr="0019180B">
        <w:rPr>
          <w:rFonts w:ascii="標楷體" w:eastAsia="標楷體" w:hAnsi="標楷體" w:hint="eastAsia"/>
          <w:color w:val="FF0000"/>
          <w:kern w:val="0"/>
          <w:szCs w:val="24"/>
          <w:u w:val="single"/>
        </w:rPr>
        <w:t>二</w:t>
      </w:r>
      <w:r w:rsidRPr="0019180B">
        <w:rPr>
          <w:rFonts w:ascii="標楷體" w:eastAsia="標楷體" w:hAnsi="標楷體"/>
          <w:strike/>
          <w:color w:val="FF0000"/>
          <w:kern w:val="0"/>
          <w:szCs w:val="24"/>
        </w:rPr>
        <w:t>三</w:t>
      </w:r>
      <w:r>
        <w:rPr>
          <w:rFonts w:ascii="標楷體" w:eastAsia="標楷體" w:hAnsi="標楷體"/>
          <w:kern w:val="0"/>
          <w:szCs w:val="24"/>
        </w:rPr>
        <w:t>條有關投資控股公司之規定。</w:t>
      </w:r>
    </w:p>
    <w:p w14:paraId="1978565A" w14:textId="77777777" w:rsidR="001158E3" w:rsidRDefault="001158E3" w:rsidP="00A97CBC">
      <w:pPr>
        <w:pStyle w:val="af1"/>
        <w:overflowPunct w:val="0"/>
        <w:rPr>
          <w:rFonts w:ascii="標楷體" w:eastAsia="標楷體" w:hAnsi="標楷體"/>
        </w:rPr>
      </w:pPr>
    </w:p>
    <w:p w14:paraId="38957105" w14:textId="24FC59A5" w:rsidR="001158E3" w:rsidRDefault="00693FE7" w:rsidP="00A97CBC">
      <w:pPr>
        <w:pStyle w:val="a7"/>
        <w:overflowPunct w:val="0"/>
        <w:snapToGrid w:val="0"/>
        <w:ind w:left="737"/>
        <w:jc w:val="both"/>
      </w:pPr>
      <w:r>
        <w:rPr>
          <w:rFonts w:ascii="標楷體" w:eastAsia="標楷體" w:hAnsi="標楷體"/>
          <w:szCs w:val="24"/>
        </w:rPr>
        <w:t>(二)評估外國申請公司是否符合「</w:t>
      </w:r>
      <w:r w:rsidR="00A97CBC" w:rsidRPr="001B5CB0">
        <w:rPr>
          <w:rFonts w:ascii="標楷體" w:eastAsia="標楷體" w:hAnsi="標楷體" w:hint="eastAsia"/>
          <w:szCs w:val="24"/>
        </w:rPr>
        <w:t>財團法人中華民國證券櫃檯買賣中心</w:t>
      </w:r>
      <w:r w:rsidRPr="001B5CB0">
        <w:rPr>
          <w:rFonts w:ascii="標楷體" w:eastAsia="標楷體" w:hAnsi="標楷體"/>
          <w:szCs w:val="24"/>
        </w:rPr>
        <w:t>外國有價證券櫃檯買賣審查準則</w:t>
      </w:r>
      <w:r>
        <w:rPr>
          <w:rFonts w:ascii="標楷體" w:eastAsia="標楷體" w:hAnsi="標楷體"/>
          <w:szCs w:val="24"/>
        </w:rPr>
        <w:t>」第四條第</w:t>
      </w:r>
      <w:r w:rsidR="0019180B" w:rsidRPr="0019180B">
        <w:rPr>
          <w:rFonts w:ascii="標楷體" w:eastAsia="標楷體" w:hAnsi="標楷體" w:hint="eastAsia"/>
          <w:color w:val="FF0000"/>
          <w:szCs w:val="24"/>
          <w:u w:val="single"/>
        </w:rPr>
        <w:t>六</w:t>
      </w:r>
      <w:r w:rsidRPr="0019180B">
        <w:rPr>
          <w:rFonts w:ascii="標楷體" w:eastAsia="標楷體" w:hAnsi="標楷體"/>
          <w:strike/>
          <w:color w:val="FF0000"/>
          <w:szCs w:val="24"/>
        </w:rPr>
        <w:t>五</w:t>
      </w:r>
      <w:r>
        <w:rPr>
          <w:rFonts w:ascii="標楷體" w:eastAsia="標楷體" w:hAnsi="標楷體"/>
          <w:szCs w:val="24"/>
        </w:rPr>
        <w:t>項有關建設公司申請股票上櫃之規定。</w:t>
      </w:r>
    </w:p>
    <w:p w14:paraId="581D9ABE" w14:textId="77777777" w:rsidR="001158E3" w:rsidRDefault="00693FE7" w:rsidP="00A97CBC">
      <w:pPr>
        <w:pStyle w:val="a7"/>
        <w:overflowPunct w:val="0"/>
        <w:snapToGrid w:val="0"/>
        <w:ind w:left="28"/>
        <w:jc w:val="both"/>
        <w:rPr>
          <w:rFonts w:ascii="標楷體" w:eastAsia="標楷體" w:hAnsi="標楷體"/>
          <w:szCs w:val="24"/>
        </w:rPr>
      </w:pPr>
      <w:r>
        <w:rPr>
          <w:rFonts w:ascii="標楷體" w:eastAsia="標楷體" w:hAnsi="標楷體"/>
          <w:szCs w:val="24"/>
        </w:rPr>
        <w:t xml:space="preserve">      　　　　　　　　　　　　　　　　　　　　　　　　　　　　　　　　      　　　　　　　　　　　　　　　　　　　　　　　　　　　　　　　　</w:t>
      </w:r>
    </w:p>
    <w:p w14:paraId="02C64145" w14:textId="77777777" w:rsidR="001158E3" w:rsidRDefault="00693FE7" w:rsidP="00A97CBC">
      <w:pPr>
        <w:pStyle w:val="a7"/>
        <w:numPr>
          <w:ilvl w:val="0"/>
          <w:numId w:val="1"/>
        </w:numPr>
        <w:overflowPunct w:val="0"/>
        <w:snapToGrid w:val="0"/>
        <w:ind w:left="737" w:hanging="737"/>
        <w:jc w:val="both"/>
        <w:rPr>
          <w:rFonts w:ascii="標楷體" w:eastAsia="標楷體" w:hAnsi="標楷體"/>
          <w:szCs w:val="24"/>
        </w:rPr>
      </w:pPr>
      <w:r>
        <w:rPr>
          <w:rFonts w:ascii="標楷體" w:eastAsia="標楷體" w:hAnsi="標楷體"/>
          <w:szCs w:val="24"/>
        </w:rPr>
        <w:t>以投資控股公司身分申請其股票為櫃檯買賣者，推薦證券商就其被控股公司亦應依申請股票上櫃之推薦證券商評估報告應行記載事項要點第五條、第七條第四項、第十條及第十一條規定逐項評估。</w:t>
      </w:r>
    </w:p>
    <w:p w14:paraId="0AC2AA2B" w14:textId="77777777" w:rsidR="001158E3" w:rsidRDefault="001158E3" w:rsidP="00A97CBC">
      <w:pPr>
        <w:pStyle w:val="a7"/>
        <w:overflowPunct w:val="0"/>
        <w:snapToGrid w:val="0"/>
        <w:ind w:left="737"/>
        <w:jc w:val="both"/>
        <w:rPr>
          <w:rFonts w:ascii="標楷體" w:eastAsia="標楷體" w:hAnsi="標楷體"/>
          <w:szCs w:val="24"/>
        </w:rPr>
      </w:pPr>
    </w:p>
    <w:p w14:paraId="122C9158" w14:textId="5307ED1B" w:rsidR="001158E3" w:rsidRPr="001B5CB0" w:rsidRDefault="00693FE7" w:rsidP="001B5CB0">
      <w:pPr>
        <w:pStyle w:val="a7"/>
        <w:numPr>
          <w:ilvl w:val="0"/>
          <w:numId w:val="1"/>
        </w:numPr>
        <w:overflowPunct w:val="0"/>
        <w:snapToGrid w:val="0"/>
        <w:ind w:left="737" w:hanging="737"/>
        <w:jc w:val="both"/>
      </w:pPr>
      <w:r>
        <w:rPr>
          <w:rFonts w:ascii="標楷體" w:eastAsia="標楷體" w:hAnsi="標楷體"/>
          <w:szCs w:val="24"/>
        </w:rPr>
        <w:t>本國上櫃（市）公司之海外子公司申請其股票為櫃檯買賣者，推薦證券商應</w:t>
      </w:r>
      <w:r w:rsidR="00451CD0" w:rsidRPr="001B5CB0">
        <w:rPr>
          <w:rFonts w:ascii="標楷體" w:eastAsia="標楷體" w:hAnsi="標楷體" w:hint="eastAsia"/>
          <w:szCs w:val="24"/>
        </w:rPr>
        <w:t>評估本國上櫃（市）公司決策過程之適法性、對其營運及財務狀況是否有重大不利之影響，及擬</w:t>
      </w:r>
      <w:proofErr w:type="gramStart"/>
      <w:r w:rsidR="00451CD0" w:rsidRPr="001B5CB0">
        <w:rPr>
          <w:rFonts w:ascii="標楷體" w:eastAsia="標楷體" w:hAnsi="標楷體" w:hint="eastAsia"/>
          <w:szCs w:val="24"/>
        </w:rPr>
        <w:t>採</w:t>
      </w:r>
      <w:proofErr w:type="gramEnd"/>
      <w:r w:rsidR="00451CD0" w:rsidRPr="001B5CB0">
        <w:rPr>
          <w:rFonts w:ascii="標楷體" w:eastAsia="標楷體" w:hAnsi="標楷體" w:hint="eastAsia"/>
          <w:szCs w:val="24"/>
        </w:rPr>
        <w:t>行之因應措施。</w:t>
      </w:r>
    </w:p>
    <w:p w14:paraId="7220163F" w14:textId="77777777" w:rsidR="001B5CB0" w:rsidRPr="001B5CB0" w:rsidRDefault="001B5CB0" w:rsidP="001B5CB0">
      <w:pPr>
        <w:pStyle w:val="a7"/>
        <w:overflowPunct w:val="0"/>
        <w:snapToGrid w:val="0"/>
        <w:jc w:val="both"/>
      </w:pPr>
    </w:p>
    <w:p w14:paraId="52D086EE" w14:textId="77777777" w:rsidR="001158E3" w:rsidRDefault="00693FE7" w:rsidP="00A97CBC">
      <w:pPr>
        <w:pStyle w:val="a7"/>
        <w:overflowPunct w:val="0"/>
        <w:snapToGrid w:val="0"/>
        <w:ind w:left="490" w:firstLine="230"/>
        <w:jc w:val="both"/>
        <w:rPr>
          <w:rFonts w:ascii="標楷體" w:eastAsia="標楷體" w:hAnsi="標楷體"/>
          <w:szCs w:val="24"/>
        </w:rPr>
      </w:pPr>
      <w:r>
        <w:rPr>
          <w:rFonts w:ascii="標楷體" w:eastAsia="標楷體" w:hAnsi="標楷體"/>
          <w:szCs w:val="24"/>
        </w:rPr>
        <w:t xml:space="preserve">                                                                                                                                  </w:t>
      </w:r>
    </w:p>
    <w:p w14:paraId="24D52783" w14:textId="77777777" w:rsidR="001158E3" w:rsidRDefault="00693FE7" w:rsidP="00A97CBC">
      <w:pPr>
        <w:pStyle w:val="a7"/>
        <w:numPr>
          <w:ilvl w:val="0"/>
          <w:numId w:val="1"/>
        </w:numPr>
        <w:overflowPunct w:val="0"/>
        <w:snapToGrid w:val="0"/>
        <w:ind w:left="737" w:hanging="737"/>
        <w:jc w:val="both"/>
        <w:rPr>
          <w:rFonts w:ascii="標楷體" w:eastAsia="標楷體" w:hAnsi="標楷體"/>
          <w:szCs w:val="24"/>
        </w:rPr>
      </w:pPr>
      <w:r>
        <w:rPr>
          <w:rFonts w:ascii="標楷體" w:eastAsia="標楷體" w:hAnsi="標楷體"/>
          <w:szCs w:val="24"/>
        </w:rPr>
        <w:t>期後事項</w:t>
      </w:r>
      <w:proofErr w:type="gramStart"/>
      <w:r>
        <w:rPr>
          <w:rFonts w:ascii="標楷體" w:eastAsia="標楷體" w:hAnsi="標楷體"/>
          <w:szCs w:val="24"/>
        </w:rPr>
        <w:t>─</w:t>
      </w:r>
      <w:proofErr w:type="gramEnd"/>
      <w:r>
        <w:rPr>
          <w:rFonts w:ascii="標楷體" w:eastAsia="標楷體" w:hAnsi="標楷體"/>
          <w:szCs w:val="24"/>
        </w:rPr>
        <w:t>自推薦證券商評估報告完成日起至股票上櫃用公開說明書列印日前，如有重大期後事項，推薦證券商對上列各項目應加以更新說明與評估。</w:t>
      </w:r>
    </w:p>
    <w:p w14:paraId="20599845" w14:textId="77777777" w:rsidR="001158E3" w:rsidRDefault="001158E3" w:rsidP="00A97CBC">
      <w:pPr>
        <w:pStyle w:val="a7"/>
        <w:overflowPunct w:val="0"/>
        <w:snapToGrid w:val="0"/>
        <w:ind w:left="480" w:hanging="451"/>
        <w:jc w:val="both"/>
        <w:rPr>
          <w:rFonts w:ascii="標楷體" w:eastAsia="標楷體" w:hAnsi="標楷體"/>
          <w:szCs w:val="24"/>
        </w:rPr>
      </w:pPr>
    </w:p>
    <w:p w14:paraId="28335414" w14:textId="77777777" w:rsidR="001158E3" w:rsidRDefault="00693FE7" w:rsidP="00A97CBC">
      <w:pPr>
        <w:pStyle w:val="a7"/>
        <w:numPr>
          <w:ilvl w:val="0"/>
          <w:numId w:val="1"/>
        </w:numPr>
        <w:overflowPunct w:val="0"/>
        <w:snapToGrid w:val="0"/>
        <w:ind w:left="737" w:hanging="737"/>
        <w:jc w:val="both"/>
        <w:rPr>
          <w:rFonts w:ascii="標楷體" w:eastAsia="標楷體" w:hAnsi="標楷體"/>
          <w:color w:val="000000"/>
          <w:szCs w:val="24"/>
        </w:rPr>
      </w:pPr>
      <w:r>
        <w:rPr>
          <w:rFonts w:ascii="標楷體" w:eastAsia="標楷體" w:hAnsi="標楷體"/>
          <w:color w:val="000000"/>
          <w:szCs w:val="24"/>
        </w:rPr>
        <w:t>其他補充揭露事項。</w:t>
      </w:r>
    </w:p>
    <w:p w14:paraId="1EF31153" w14:textId="77777777" w:rsidR="007B1AC8" w:rsidRDefault="007B1AC8" w:rsidP="00A97CBC">
      <w:pPr>
        <w:overflowPunct w:val="0"/>
      </w:pPr>
      <w:r>
        <w:br w:type="page"/>
      </w:r>
    </w:p>
    <w:tbl>
      <w:tblPr>
        <w:tblW w:w="9582" w:type="dxa"/>
        <w:jc w:val="center"/>
        <w:tblCellMar>
          <w:left w:w="10" w:type="dxa"/>
          <w:right w:w="10" w:type="dxa"/>
        </w:tblCellMar>
        <w:tblLook w:val="04A0" w:firstRow="1" w:lastRow="0" w:firstColumn="1" w:lastColumn="0" w:noHBand="0" w:noVBand="1"/>
      </w:tblPr>
      <w:tblGrid>
        <w:gridCol w:w="1757"/>
        <w:gridCol w:w="2041"/>
        <w:gridCol w:w="1928"/>
        <w:gridCol w:w="1928"/>
        <w:gridCol w:w="1928"/>
      </w:tblGrid>
      <w:tr w:rsidR="001158E3" w14:paraId="1C8197E4" w14:textId="77777777">
        <w:trPr>
          <w:jc w:val="center"/>
        </w:trPr>
        <w:tc>
          <w:tcPr>
            <w:tcW w:w="1757" w:type="dxa"/>
            <w:shd w:val="clear" w:color="auto" w:fill="auto"/>
            <w:tcMar>
              <w:top w:w="0" w:type="dxa"/>
              <w:left w:w="108" w:type="dxa"/>
              <w:bottom w:w="0" w:type="dxa"/>
              <w:right w:w="108" w:type="dxa"/>
            </w:tcMar>
          </w:tcPr>
          <w:p w14:paraId="6746356C" w14:textId="26FEFB15" w:rsidR="001158E3" w:rsidRDefault="00693FE7">
            <w:pPr>
              <w:pStyle w:val="a7"/>
              <w:spacing w:line="360" w:lineRule="exact"/>
              <w:jc w:val="center"/>
              <w:rPr>
                <w:rFonts w:ascii="標楷體" w:eastAsia="標楷體" w:hAnsi="標楷體"/>
                <w:szCs w:val="24"/>
                <w:u w:val="single"/>
              </w:rPr>
            </w:pPr>
            <w:r>
              <w:rPr>
                <w:rFonts w:ascii="標楷體" w:eastAsia="標楷體" w:hAnsi="標楷體"/>
                <w:szCs w:val="24"/>
                <w:u w:val="single"/>
              </w:rPr>
              <w:lastRenderedPageBreak/>
              <w:t xml:space="preserve">評估報告日   </w:t>
            </w:r>
          </w:p>
        </w:tc>
        <w:tc>
          <w:tcPr>
            <w:tcW w:w="2041" w:type="dxa"/>
            <w:shd w:val="clear" w:color="auto" w:fill="auto"/>
            <w:tcMar>
              <w:top w:w="0" w:type="dxa"/>
              <w:left w:w="108" w:type="dxa"/>
              <w:bottom w:w="0" w:type="dxa"/>
              <w:right w:w="108" w:type="dxa"/>
            </w:tcMar>
          </w:tcPr>
          <w:p w14:paraId="0B7C6FC4" w14:textId="77777777" w:rsidR="001158E3" w:rsidRDefault="00693FE7">
            <w:pPr>
              <w:pStyle w:val="a7"/>
              <w:spacing w:line="360" w:lineRule="exact"/>
              <w:jc w:val="center"/>
              <w:rPr>
                <w:rFonts w:ascii="標楷體" w:eastAsia="標楷體" w:hAnsi="標楷體"/>
                <w:szCs w:val="24"/>
                <w:u w:val="single"/>
              </w:rPr>
            </w:pPr>
            <w:r>
              <w:rPr>
                <w:rFonts w:ascii="標楷體" w:eastAsia="標楷體" w:hAnsi="標楷體"/>
                <w:szCs w:val="24"/>
                <w:u w:val="single"/>
              </w:rPr>
              <w:t xml:space="preserve">推薦證券商        </w:t>
            </w:r>
          </w:p>
        </w:tc>
        <w:tc>
          <w:tcPr>
            <w:tcW w:w="1928" w:type="dxa"/>
            <w:shd w:val="clear" w:color="auto" w:fill="auto"/>
            <w:tcMar>
              <w:top w:w="0" w:type="dxa"/>
              <w:left w:w="108" w:type="dxa"/>
              <w:bottom w:w="0" w:type="dxa"/>
              <w:right w:w="108" w:type="dxa"/>
            </w:tcMar>
          </w:tcPr>
          <w:p w14:paraId="3FD86B86" w14:textId="77777777" w:rsidR="001158E3" w:rsidRDefault="00693FE7">
            <w:pPr>
              <w:pStyle w:val="a7"/>
              <w:spacing w:line="360" w:lineRule="exact"/>
              <w:jc w:val="center"/>
              <w:rPr>
                <w:rFonts w:ascii="標楷體" w:eastAsia="標楷體" w:hAnsi="標楷體"/>
                <w:szCs w:val="24"/>
                <w:u w:val="single"/>
              </w:rPr>
            </w:pPr>
            <w:r>
              <w:rPr>
                <w:rFonts w:ascii="標楷體" w:eastAsia="標楷體" w:hAnsi="標楷體"/>
                <w:szCs w:val="24"/>
                <w:u w:val="single"/>
              </w:rPr>
              <w:t>評估人簽章</w:t>
            </w:r>
          </w:p>
        </w:tc>
        <w:tc>
          <w:tcPr>
            <w:tcW w:w="1928" w:type="dxa"/>
            <w:shd w:val="clear" w:color="auto" w:fill="auto"/>
            <w:tcMar>
              <w:top w:w="0" w:type="dxa"/>
              <w:left w:w="108" w:type="dxa"/>
              <w:bottom w:w="0" w:type="dxa"/>
              <w:right w:w="108" w:type="dxa"/>
            </w:tcMar>
          </w:tcPr>
          <w:p w14:paraId="6CA1CBCB" w14:textId="77777777" w:rsidR="001158E3" w:rsidRDefault="00693FE7">
            <w:pPr>
              <w:pStyle w:val="a7"/>
              <w:spacing w:line="360" w:lineRule="exact"/>
              <w:jc w:val="center"/>
              <w:rPr>
                <w:rFonts w:ascii="標楷體" w:eastAsia="標楷體" w:hAnsi="標楷體"/>
                <w:szCs w:val="24"/>
                <w:u w:val="single"/>
              </w:rPr>
            </w:pPr>
            <w:r>
              <w:rPr>
                <w:rFonts w:ascii="標楷體" w:eastAsia="標楷體" w:hAnsi="標楷體"/>
                <w:szCs w:val="24"/>
                <w:u w:val="single"/>
              </w:rPr>
              <w:t>單位主管簽章</w:t>
            </w:r>
          </w:p>
        </w:tc>
        <w:tc>
          <w:tcPr>
            <w:tcW w:w="1928" w:type="dxa"/>
            <w:shd w:val="clear" w:color="auto" w:fill="auto"/>
            <w:tcMar>
              <w:top w:w="0" w:type="dxa"/>
              <w:left w:w="108" w:type="dxa"/>
              <w:bottom w:w="0" w:type="dxa"/>
              <w:right w:w="108" w:type="dxa"/>
            </w:tcMar>
          </w:tcPr>
          <w:p w14:paraId="16141BF7" w14:textId="77777777" w:rsidR="001158E3" w:rsidRDefault="00693FE7">
            <w:pPr>
              <w:pStyle w:val="a7"/>
              <w:spacing w:line="360" w:lineRule="exact"/>
              <w:jc w:val="center"/>
              <w:rPr>
                <w:rFonts w:ascii="標楷體" w:eastAsia="標楷體" w:hAnsi="標楷體"/>
                <w:szCs w:val="24"/>
                <w:u w:val="single"/>
              </w:rPr>
            </w:pPr>
            <w:r>
              <w:rPr>
                <w:rFonts w:ascii="標楷體" w:eastAsia="標楷體" w:hAnsi="標楷體"/>
                <w:szCs w:val="24"/>
                <w:u w:val="single"/>
              </w:rPr>
              <w:t>負責人簽章</w:t>
            </w:r>
          </w:p>
        </w:tc>
      </w:tr>
      <w:tr w:rsidR="001158E3" w14:paraId="1E2E5807" w14:textId="77777777">
        <w:trPr>
          <w:jc w:val="center"/>
        </w:trPr>
        <w:tc>
          <w:tcPr>
            <w:tcW w:w="1757" w:type="dxa"/>
            <w:shd w:val="clear" w:color="auto" w:fill="auto"/>
            <w:tcMar>
              <w:top w:w="0" w:type="dxa"/>
              <w:left w:w="108" w:type="dxa"/>
              <w:bottom w:w="0" w:type="dxa"/>
              <w:right w:w="108" w:type="dxa"/>
            </w:tcMar>
          </w:tcPr>
          <w:p w14:paraId="32ACD268" w14:textId="77777777" w:rsidR="001158E3" w:rsidRDefault="001158E3">
            <w:pPr>
              <w:pStyle w:val="a7"/>
              <w:spacing w:line="360" w:lineRule="exact"/>
              <w:jc w:val="center"/>
              <w:rPr>
                <w:rFonts w:ascii="標楷體" w:eastAsia="標楷體" w:hAnsi="標楷體"/>
                <w:szCs w:val="24"/>
                <w:u w:val="single"/>
              </w:rPr>
            </w:pPr>
          </w:p>
        </w:tc>
        <w:tc>
          <w:tcPr>
            <w:tcW w:w="2041" w:type="dxa"/>
            <w:shd w:val="clear" w:color="auto" w:fill="auto"/>
            <w:tcMar>
              <w:top w:w="0" w:type="dxa"/>
              <w:left w:w="108" w:type="dxa"/>
              <w:bottom w:w="0" w:type="dxa"/>
              <w:right w:w="108" w:type="dxa"/>
            </w:tcMar>
          </w:tcPr>
          <w:p w14:paraId="2B10ABAF" w14:textId="77777777" w:rsidR="001158E3" w:rsidRDefault="001158E3">
            <w:pPr>
              <w:pStyle w:val="a7"/>
              <w:spacing w:line="360" w:lineRule="exact"/>
              <w:jc w:val="center"/>
              <w:rPr>
                <w:rFonts w:ascii="標楷體" w:eastAsia="標楷體" w:hAnsi="標楷體"/>
                <w:szCs w:val="24"/>
                <w:u w:val="single"/>
              </w:rPr>
            </w:pPr>
          </w:p>
        </w:tc>
        <w:tc>
          <w:tcPr>
            <w:tcW w:w="1928" w:type="dxa"/>
            <w:shd w:val="clear" w:color="auto" w:fill="auto"/>
            <w:tcMar>
              <w:top w:w="0" w:type="dxa"/>
              <w:left w:w="108" w:type="dxa"/>
              <w:bottom w:w="0" w:type="dxa"/>
              <w:right w:w="108" w:type="dxa"/>
            </w:tcMar>
          </w:tcPr>
          <w:p w14:paraId="3997327D" w14:textId="77777777" w:rsidR="001158E3" w:rsidRDefault="001158E3">
            <w:pPr>
              <w:pStyle w:val="a7"/>
              <w:spacing w:line="360" w:lineRule="exact"/>
              <w:jc w:val="center"/>
              <w:rPr>
                <w:rFonts w:ascii="標楷體" w:eastAsia="標楷體" w:hAnsi="標楷體"/>
                <w:szCs w:val="24"/>
                <w:u w:val="single"/>
              </w:rPr>
            </w:pPr>
          </w:p>
        </w:tc>
        <w:tc>
          <w:tcPr>
            <w:tcW w:w="1928" w:type="dxa"/>
            <w:shd w:val="clear" w:color="auto" w:fill="auto"/>
            <w:tcMar>
              <w:top w:w="0" w:type="dxa"/>
              <w:left w:w="108" w:type="dxa"/>
              <w:bottom w:w="0" w:type="dxa"/>
              <w:right w:w="108" w:type="dxa"/>
            </w:tcMar>
          </w:tcPr>
          <w:p w14:paraId="7878BE0C" w14:textId="77777777" w:rsidR="001158E3" w:rsidRDefault="001158E3">
            <w:pPr>
              <w:pStyle w:val="a7"/>
              <w:spacing w:line="360" w:lineRule="exact"/>
              <w:jc w:val="center"/>
              <w:rPr>
                <w:rFonts w:ascii="標楷體" w:eastAsia="標楷體" w:hAnsi="標楷體"/>
                <w:szCs w:val="24"/>
                <w:u w:val="single"/>
              </w:rPr>
            </w:pPr>
          </w:p>
        </w:tc>
        <w:tc>
          <w:tcPr>
            <w:tcW w:w="1928" w:type="dxa"/>
            <w:shd w:val="clear" w:color="auto" w:fill="auto"/>
            <w:tcMar>
              <w:top w:w="0" w:type="dxa"/>
              <w:left w:w="108" w:type="dxa"/>
              <w:bottom w:w="0" w:type="dxa"/>
              <w:right w:w="108" w:type="dxa"/>
            </w:tcMar>
          </w:tcPr>
          <w:p w14:paraId="4B1FCDFE" w14:textId="77777777" w:rsidR="001158E3" w:rsidRDefault="001158E3">
            <w:pPr>
              <w:pStyle w:val="a7"/>
              <w:spacing w:line="360" w:lineRule="exact"/>
              <w:jc w:val="center"/>
              <w:rPr>
                <w:rFonts w:ascii="標楷體" w:eastAsia="標楷體" w:hAnsi="標楷體"/>
                <w:szCs w:val="24"/>
                <w:u w:val="single"/>
              </w:rPr>
            </w:pPr>
          </w:p>
        </w:tc>
      </w:tr>
    </w:tbl>
    <w:p w14:paraId="72F3B458" w14:textId="77777777" w:rsidR="001158E3" w:rsidRDefault="00693FE7">
      <w:pPr>
        <w:pStyle w:val="a7"/>
        <w:jc w:val="both"/>
      </w:pPr>
      <w:r>
        <w:rPr>
          <w:sz w:val="28"/>
          <w:u w:val="single"/>
        </w:rPr>
        <w:t xml:space="preserve">            </w:t>
      </w:r>
      <w:r>
        <w:rPr>
          <w:sz w:val="28"/>
        </w:rPr>
        <w:t xml:space="preserve">    </w:t>
      </w:r>
      <w:r>
        <w:rPr>
          <w:sz w:val="28"/>
          <w:u w:val="single"/>
        </w:rPr>
        <w:t xml:space="preserve">                         </w:t>
      </w:r>
      <w:r>
        <w:rPr>
          <w:sz w:val="28"/>
        </w:rPr>
        <w:t xml:space="preserve">      </w:t>
      </w:r>
      <w:r>
        <w:rPr>
          <w:sz w:val="28"/>
          <w:u w:val="single"/>
        </w:rPr>
        <w:t xml:space="preserve">            </w:t>
      </w:r>
      <w:r>
        <w:rPr>
          <w:sz w:val="28"/>
        </w:rPr>
        <w:t xml:space="preserve">   </w:t>
      </w:r>
      <w:r>
        <w:rPr>
          <w:sz w:val="28"/>
          <w:u w:val="single"/>
        </w:rPr>
        <w:t xml:space="preserve">              </w:t>
      </w:r>
      <w:r>
        <w:rPr>
          <w:sz w:val="28"/>
        </w:rPr>
        <w:t xml:space="preserve">    </w:t>
      </w:r>
      <w:r>
        <w:rPr>
          <w:sz w:val="28"/>
          <w:u w:val="single"/>
        </w:rPr>
        <w:t xml:space="preserve">             </w:t>
      </w:r>
    </w:p>
    <w:p w14:paraId="0A5A8FD4" w14:textId="77777777" w:rsidR="001158E3" w:rsidRDefault="00693FE7">
      <w:pPr>
        <w:pStyle w:val="a7"/>
        <w:ind w:left="960" w:hanging="676"/>
        <w:jc w:val="both"/>
      </w:pPr>
      <w:r>
        <w:rPr>
          <w:sz w:val="28"/>
          <w:u w:val="single"/>
        </w:rPr>
        <w:t xml:space="preserve">               </w:t>
      </w:r>
      <w:r>
        <w:rPr>
          <w:sz w:val="28"/>
        </w:rPr>
        <w:t xml:space="preserve">    </w:t>
      </w:r>
      <w:r>
        <w:rPr>
          <w:sz w:val="28"/>
          <w:u w:val="single"/>
        </w:rPr>
        <w:t xml:space="preserve">                         </w:t>
      </w:r>
      <w:r>
        <w:rPr>
          <w:sz w:val="28"/>
        </w:rPr>
        <w:t xml:space="preserve">      </w:t>
      </w:r>
      <w:r>
        <w:rPr>
          <w:sz w:val="28"/>
          <w:u w:val="single"/>
        </w:rPr>
        <w:t xml:space="preserve">            </w:t>
      </w:r>
      <w:r>
        <w:rPr>
          <w:sz w:val="28"/>
        </w:rPr>
        <w:t xml:space="preserve">   </w:t>
      </w:r>
      <w:r>
        <w:rPr>
          <w:sz w:val="28"/>
          <w:u w:val="single"/>
        </w:rPr>
        <w:t xml:space="preserve">              </w:t>
      </w:r>
      <w:r>
        <w:rPr>
          <w:sz w:val="28"/>
        </w:rPr>
        <w:t xml:space="preserve">    </w:t>
      </w:r>
      <w:r>
        <w:rPr>
          <w:sz w:val="28"/>
          <w:u w:val="single"/>
        </w:rPr>
        <w:t xml:space="preserve">           </w:t>
      </w:r>
    </w:p>
    <w:sectPr w:rsidR="001158E3">
      <w:footerReference w:type="default" r:id="rId7"/>
      <w:pgSz w:w="11906" w:h="16838"/>
      <w:pgMar w:top="1440" w:right="1361" w:bottom="1440" w:left="1361" w:header="851" w:footer="992" w:gutter="0"/>
      <w:cols w:space="720"/>
      <w:docGrid w:type="line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D2C1" w14:textId="77777777" w:rsidR="0011715D" w:rsidRDefault="0011715D">
      <w:r>
        <w:separator/>
      </w:r>
    </w:p>
  </w:endnote>
  <w:endnote w:type="continuationSeparator" w:id="0">
    <w:p w14:paraId="5D829D37" w14:textId="77777777" w:rsidR="0011715D" w:rsidRDefault="001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6062" w14:textId="77777777" w:rsidR="003F4EDC" w:rsidRDefault="00693FE7">
    <w:pPr>
      <w:pStyle w:val="a3"/>
    </w:pPr>
    <w:r>
      <w:rPr>
        <w:noProof/>
      </w:rPr>
      <mc:AlternateContent>
        <mc:Choice Requires="wps">
          <w:drawing>
            <wp:anchor distT="0" distB="0" distL="114300" distR="114300" simplePos="0" relativeHeight="251659264" behindDoc="0" locked="0" layoutInCell="1" allowOverlap="1" wp14:anchorId="632F0BB2" wp14:editId="1EE097B7">
              <wp:simplePos x="0" y="0"/>
              <wp:positionH relativeFrom="margin">
                <wp:align>center</wp:align>
              </wp:positionH>
              <wp:positionV relativeFrom="paragraph">
                <wp:posOffset>548</wp:posOffset>
              </wp:positionV>
              <wp:extent cx="0" cy="0"/>
              <wp:effectExtent l="0" t="0" r="0" b="0"/>
              <wp:wrapSquare wrapText="bothSides"/>
              <wp:docPr id="1"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928F81C" w14:textId="77777777" w:rsidR="003F4EDC" w:rsidRDefault="00693FE7">
                          <w:pPr>
                            <w:pStyle w:val="a3"/>
                          </w:pPr>
                          <w:r>
                            <w:rPr>
                              <w:rStyle w:val="a4"/>
                            </w:rPr>
                            <w:fldChar w:fldCharType="begin"/>
                          </w:r>
                          <w:r>
                            <w:rPr>
                              <w:rStyle w:val="a4"/>
                            </w:rPr>
                            <w:instrText xml:space="preserve"> PAGE </w:instrText>
                          </w:r>
                          <w:r>
                            <w:rPr>
                              <w:rStyle w:val="a4"/>
                            </w:rPr>
                            <w:fldChar w:fldCharType="separate"/>
                          </w:r>
                          <w:r>
                            <w:rPr>
                              <w:rStyle w:val="a4"/>
                            </w:rPr>
                            <w:t>7</w:t>
                          </w:r>
                          <w:r>
                            <w:rPr>
                              <w:rStyle w:val="a4"/>
                            </w:rPr>
                            <w:fldChar w:fldCharType="end"/>
                          </w:r>
                        </w:p>
                      </w:txbxContent>
                    </wps:txbx>
                    <wps:bodyPr vert="horz" wrap="none" lIns="0" tIns="0" rIns="0" bIns="0" anchor="t" anchorCtr="0" compatLnSpc="0">
                      <a:spAutoFit/>
                    </wps:bodyPr>
                  </wps:wsp>
                </a:graphicData>
              </a:graphic>
            </wp:anchor>
          </w:drawing>
        </mc:Choice>
        <mc:Fallback>
          <w:pict>
            <v:shapetype w14:anchorId="632F0BB2" id="_x0000_t202" coordsize="21600,21600" o:spt="202" path="m,l,21600r21600,l21600,xe">
              <v:stroke joinstyle="miter"/>
              <v:path gradientshapeok="t" o:connecttype="rect"/>
            </v:shapetype>
            <v:shape id="文字方塊 2"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9+zgEAAHgDAAAOAAAAZHJzL2Uyb0RvYy54bWysU1GO0zAQ/UfiDpb/abr9QChqugKqRUgr&#10;QCocwHXsxpLtsezZJuUCSBxg+eYAHIAD7Z5jx07SRcsf4scZz4xn3pt5WV8OzrKjismAb/jFYsmZ&#10;8hJa4w8N//L56sUrzhIK3woLXjX8pBK/3Dx/tu5DrVbQgW1VZFTEp7oPDe8QQ11VSXbKibSAoDwF&#10;NUQnkK7xULVR9FTd2Wq1XL6seohtiCBVSuTdjkG+KfW1VhI/ap0UMttwwobljOXc57ParEV9iCJ0&#10;Rk4wxD+gcMJ4anoutRUo2E00f5VyRkZIoHEhwVWgtZGqcCA2F8snbHadCKpwoeGkcB5T+n9l5Yfj&#10;p8hMS7vjzAtHK7q//Xb368f97e+7n9/ZKk+oD6mmxF2gVBzewJCzJ38iZyY+6OjylygxitOsT+f5&#10;qgGZHJ1y9laPT0JM+E6BY9loeKSllVmK43VCakOpc0ru4OHKWFsWZ/0TR87bitSNr3K4yuBHkNnC&#10;YT9MyPfQnogQiZeadhC/ctaTEBruSamc2fee5pw1MxtxNvazIbykhw1HzkbzLY7aouUGgdd+F2Su&#10;kVGm8PoGCX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AX0h9+zgEAAHgDAAAOAAAAAAAAAAAAAAAA&#10;AC4CAABkcnMvZTJvRG9jLnhtbFBLAQItABQABgAIAAAAIQAE0ugP0gAAAP8AAAAPAAAAAAAAAAAA&#10;AAAAACgEAABkcnMvZG93bnJldi54bWxQSwUGAAAAAAQABADzAAAAJwUAAAAA&#10;" filled="f" stroked="f">
              <v:textbox style="mso-fit-shape-to-text:t" inset="0,0,0,0">
                <w:txbxContent>
                  <w:p w14:paraId="2928F81C" w14:textId="77777777" w:rsidR="003F4EDC" w:rsidRDefault="00693FE7">
                    <w:pPr>
                      <w:pStyle w:val="a3"/>
                    </w:pPr>
                    <w:r>
                      <w:rPr>
                        <w:rStyle w:val="a4"/>
                      </w:rPr>
                      <w:fldChar w:fldCharType="begin"/>
                    </w:r>
                    <w:r>
                      <w:rPr>
                        <w:rStyle w:val="a4"/>
                      </w:rPr>
                      <w:instrText xml:space="preserve"> PAGE </w:instrText>
                    </w:r>
                    <w:r>
                      <w:rPr>
                        <w:rStyle w:val="a4"/>
                      </w:rPr>
                      <w:fldChar w:fldCharType="separate"/>
                    </w:r>
                    <w:r>
                      <w:rPr>
                        <w:rStyle w:val="a4"/>
                      </w:rPr>
                      <w:t>7</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1CD59" w14:textId="77777777" w:rsidR="0011715D" w:rsidRDefault="0011715D">
      <w:r>
        <w:rPr>
          <w:color w:val="000000"/>
        </w:rPr>
        <w:separator/>
      </w:r>
    </w:p>
  </w:footnote>
  <w:footnote w:type="continuationSeparator" w:id="0">
    <w:p w14:paraId="54D7DD24" w14:textId="77777777" w:rsidR="0011715D" w:rsidRDefault="00117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A0D28"/>
    <w:multiLevelType w:val="hybridMultilevel"/>
    <w:tmpl w:val="95601CAE"/>
    <w:lvl w:ilvl="0" w:tplc="A1CA4628">
      <w:start w:val="1"/>
      <w:numFmt w:val="taiwaneseCountingThousand"/>
      <w:lvlText w:val="(%1)"/>
      <w:lvlJc w:val="left"/>
      <w:pPr>
        <w:ind w:left="708" w:hanging="480"/>
      </w:pPr>
      <w:rPr>
        <w:rFonts w:ascii="標楷體" w:hAnsi="標楷體" w:hint="default"/>
        <w:u w:val="single"/>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 w15:restartNumberingAfterBreak="0">
    <w:nsid w:val="78581781"/>
    <w:multiLevelType w:val="multilevel"/>
    <w:tmpl w:val="BAD0619E"/>
    <w:lvl w:ilvl="0">
      <w:start w:val="1"/>
      <w:numFmt w:val="decimal"/>
      <w:lvlText w:val="%1."/>
      <w:lvlJc w:val="left"/>
      <w:pPr>
        <w:ind w:left="1080" w:hanging="360"/>
      </w:pPr>
      <w:rPr>
        <w:color w:val="auto"/>
      </w:rPr>
    </w:lvl>
    <w:lvl w:ilvl="1">
      <w:start w:val="1"/>
      <w:numFmt w:val="decimal"/>
      <w:lvlText w:val="(%2)"/>
      <w:lvlJc w:val="left"/>
      <w:pPr>
        <w:ind w:left="1560" w:hanging="360"/>
      </w:pPr>
      <w:rPr>
        <w:rFonts w:ascii="標楷體" w:eastAsia="標楷體" w:hAnsi="標楷體"/>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7E1B3048"/>
    <w:multiLevelType w:val="multilevel"/>
    <w:tmpl w:val="6A943E62"/>
    <w:lvl w:ilvl="0">
      <w:start w:val="1"/>
      <w:numFmt w:val="taiwaneseCountingThousand"/>
      <w:lvlText w:val="%1、"/>
      <w:lvlJc w:val="left"/>
      <w:pPr>
        <w:ind w:left="480" w:hanging="480"/>
      </w:pPr>
      <w:rPr>
        <w:rFonts w:ascii="標楷體" w:eastAsia="標楷體" w:hAnsi="標楷體"/>
      </w:rPr>
    </w:lvl>
    <w:lvl w:ilvl="1">
      <w:start w:val="1"/>
      <w:numFmt w:val="taiwaneseCountingThousand"/>
      <w:lvlText w:val="(%2)"/>
      <w:lvlJc w:val="left"/>
      <w:pPr>
        <w:ind w:left="960" w:hanging="480"/>
      </w:pPr>
      <w:rPr>
        <w:rFonts w:ascii="標楷體" w:eastAsia="標楷體" w:hAnsi="標楷體"/>
      </w:rPr>
    </w:lvl>
    <w:lvl w:ilvl="2">
      <w:start w:val="1"/>
      <w:numFmt w:val="decimal"/>
      <w:lvlText w:val="%3."/>
      <w:lvlJc w:val="left"/>
      <w:pPr>
        <w:ind w:left="1440" w:hanging="480"/>
      </w:pPr>
      <w:rPr>
        <w:rFonts w:ascii="標楷體" w:eastAsia="標楷體" w:hAnsi="標楷體"/>
        <w:color w:val="auto"/>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E3"/>
    <w:rsid w:val="00091C2C"/>
    <w:rsid w:val="001158E3"/>
    <w:rsid w:val="0011715D"/>
    <w:rsid w:val="0019180B"/>
    <w:rsid w:val="001B5CB0"/>
    <w:rsid w:val="00200721"/>
    <w:rsid w:val="002275D9"/>
    <w:rsid w:val="004443B6"/>
    <w:rsid w:val="00451CD0"/>
    <w:rsid w:val="00693FE7"/>
    <w:rsid w:val="007B1AC8"/>
    <w:rsid w:val="009B2BE4"/>
    <w:rsid w:val="00A97CBC"/>
    <w:rsid w:val="00BC6207"/>
    <w:rsid w:val="00D211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1CBB3"/>
  <w15:docId w15:val="{1A7F8F74-B2B6-4A32-BF28-AF64385E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333333"/>
      <w:kern w:val="0"/>
      <w:sz w:val="20"/>
      <w:szCs w:val="20"/>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ody Text Indent"/>
    <w:basedOn w:val="a"/>
    <w:pPr>
      <w:ind w:left="1049" w:hanging="331"/>
    </w:pPr>
    <w:rPr>
      <w:rFonts w:ascii="標楷體" w:eastAsia="標楷體" w:hAnsi="標楷體"/>
    </w:rPr>
  </w:style>
  <w:style w:type="paragraph" w:styleId="a6">
    <w:name w:val="Body Text"/>
    <w:basedOn w:val="a"/>
    <w:pPr>
      <w:spacing w:after="120" w:line="360" w:lineRule="atLeast"/>
    </w:pPr>
    <w:rPr>
      <w:kern w:val="0"/>
      <w:szCs w:val="20"/>
    </w:rPr>
  </w:style>
  <w:style w:type="paragraph" w:styleId="2">
    <w:name w:val="Body Text Indent 2"/>
    <w:basedOn w:val="a"/>
    <w:pPr>
      <w:ind w:left="720" w:hanging="240"/>
    </w:pPr>
    <w:rPr>
      <w:rFonts w:eastAsia="標楷體"/>
      <w:u w:val="single"/>
    </w:rPr>
  </w:style>
  <w:style w:type="paragraph" w:styleId="3">
    <w:name w:val="Body Text Indent 3"/>
    <w:basedOn w:val="a"/>
    <w:pPr>
      <w:ind w:left="1051" w:hanging="336"/>
    </w:pPr>
    <w:rPr>
      <w:rFonts w:ascii="標楷體" w:eastAsia="標楷體" w:hAnsi="標楷體"/>
    </w:rPr>
  </w:style>
  <w:style w:type="paragraph" w:styleId="a7">
    <w:name w:val="Plain Text"/>
    <w:basedOn w:val="a"/>
    <w:rPr>
      <w:rFonts w:ascii="細明體" w:eastAsia="細明體" w:hAnsi="細明體"/>
      <w:szCs w:val="20"/>
    </w:rPr>
  </w:style>
  <w:style w:type="paragraph" w:styleId="a8">
    <w:name w:val="Block Text"/>
    <w:basedOn w:val="a"/>
    <w:pPr>
      <w:spacing w:line="360" w:lineRule="exact"/>
      <w:ind w:left="2520" w:right="57" w:hanging="988"/>
      <w:jc w:val="both"/>
    </w:pPr>
    <w:rPr>
      <w:rFonts w:ascii="標楷體" w:eastAsia="標楷體" w:hAnsi="標楷體"/>
      <w:szCs w:val="20"/>
    </w:rPr>
  </w:style>
  <w:style w:type="paragraph" w:styleId="a9">
    <w:name w:val="Salutation"/>
    <w:basedOn w:val="a"/>
    <w:next w:val="a"/>
    <w:rPr>
      <w:szCs w:val="20"/>
    </w:rPr>
  </w:style>
  <w:style w:type="paragraph" w:customStyle="1" w:styleId="aa">
    <w:name w:val="樣式一"/>
    <w:basedOn w:val="a"/>
    <w:pPr>
      <w:tabs>
        <w:tab w:val="left" w:pos="10588"/>
        <w:tab w:val="left" w:pos="10948"/>
        <w:tab w:val="left" w:pos="14058"/>
      </w:tabs>
      <w:autoSpaceDE w:val="0"/>
      <w:ind w:right="202"/>
    </w:pPr>
    <w:rPr>
      <w:rFonts w:ascii="標楷體" w:eastAsia="標楷體" w:hAnsi="標楷體"/>
      <w:szCs w:val="20"/>
    </w:rPr>
  </w:style>
  <w:style w:type="paragraph" w:styleId="ab">
    <w:name w:val="Note Heading"/>
    <w:basedOn w:val="a"/>
    <w:next w:val="a"/>
    <w:pPr>
      <w:spacing w:line="360" w:lineRule="atLeast"/>
      <w:jc w:val="center"/>
    </w:pPr>
    <w:rPr>
      <w:kern w:val="0"/>
      <w:szCs w:val="20"/>
    </w:rPr>
  </w:style>
  <w:style w:type="paragraph" w:customStyle="1" w:styleId="Char">
    <w:name w:val="字元 字元 Char"/>
    <w:basedOn w:val="a"/>
    <w:pPr>
      <w:widowControl/>
      <w:spacing w:after="160" w:line="240" w:lineRule="exact"/>
    </w:pPr>
    <w:rPr>
      <w:rFonts w:ascii="Arial" w:eastAsia="Times New Roman" w:hAnsi="Arial" w:cs="Arial"/>
      <w:kern w:val="0"/>
      <w:sz w:val="20"/>
      <w:szCs w:val="20"/>
      <w:lang w:eastAsia="en-US"/>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 w:type="paragraph" w:styleId="ae">
    <w:name w:val="header"/>
    <w:basedOn w:val="a"/>
    <w:pPr>
      <w:tabs>
        <w:tab w:val="center" w:pos="4153"/>
        <w:tab w:val="right" w:pos="8306"/>
      </w:tabs>
      <w:snapToGrid w:val="0"/>
    </w:pPr>
    <w:rPr>
      <w:sz w:val="20"/>
      <w:szCs w:val="20"/>
    </w:rPr>
  </w:style>
  <w:style w:type="character" w:customStyle="1" w:styleId="af">
    <w:name w:val="頁首 字元"/>
    <w:rPr>
      <w:kern w:val="3"/>
    </w:rPr>
  </w:style>
  <w:style w:type="character" w:customStyle="1" w:styleId="af0">
    <w:name w:val="問候 字元"/>
    <w:rPr>
      <w:kern w:val="3"/>
      <w:sz w:val="24"/>
    </w:rPr>
  </w:style>
  <w:style w:type="character" w:customStyle="1" w:styleId="HTML0">
    <w:name w:val="HTML 預設格式 字元"/>
    <w:rPr>
      <w:rFonts w:ascii="Arial Unicode MS" w:eastAsia="Arial Unicode MS" w:hAnsi="Arial Unicode MS" w:cs="Arial Unicode MS"/>
      <w:color w:val="333333"/>
    </w:rPr>
  </w:style>
  <w:style w:type="paragraph" w:styleId="af1">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chenyu</dc:creator>
  <cp:lastModifiedBy>劉宏亮</cp:lastModifiedBy>
  <cp:revision>10</cp:revision>
  <cp:lastPrinted>2018-03-19T02:01:00Z</cp:lastPrinted>
  <dcterms:created xsi:type="dcterms:W3CDTF">2020-02-13T08:01:00Z</dcterms:created>
  <dcterms:modified xsi:type="dcterms:W3CDTF">2021-04-21T05:41:00Z</dcterms:modified>
</cp:coreProperties>
</file>