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68A8" w14:textId="18729011" w:rsidR="005C548E" w:rsidRDefault="005C548E" w:rsidP="00D06E28">
      <w:pPr>
        <w:tabs>
          <w:tab w:val="left" w:pos="2700"/>
        </w:tabs>
        <w:jc w:val="center"/>
        <w:rPr>
          <w:rFonts w:eastAsia="標楷體"/>
          <w:b/>
          <w:bCs/>
          <w:sz w:val="40"/>
          <w:szCs w:val="40"/>
          <w:shd w:val="pct15" w:color="auto" w:fill="FFFFFF"/>
        </w:rPr>
      </w:pPr>
      <w:bookmarkStart w:id="0" w:name="_GoBack"/>
      <w:bookmarkEnd w:id="0"/>
      <w:r w:rsidRPr="008500E7">
        <w:rPr>
          <w:rFonts w:eastAsia="標楷體"/>
          <w:b/>
          <w:bCs/>
          <w:sz w:val="40"/>
          <w:szCs w:val="40"/>
          <w:shd w:val="pct15" w:color="auto" w:fill="FFFFFF"/>
        </w:rPr>
        <w:t>上櫃公司一</w:t>
      </w:r>
      <w:r w:rsidRPr="008500E7">
        <w:rPr>
          <w:rFonts w:eastAsia="標楷體"/>
          <w:b/>
          <w:bCs/>
          <w:sz w:val="40"/>
          <w:szCs w:val="40"/>
          <w:shd w:val="pct15" w:color="auto" w:fill="FFFFFF"/>
        </w:rPr>
        <w:t>○</w:t>
      </w:r>
      <w:r>
        <w:rPr>
          <w:rFonts w:eastAsia="標楷體" w:hint="eastAsia"/>
          <w:b/>
          <w:bCs/>
          <w:sz w:val="40"/>
          <w:szCs w:val="40"/>
          <w:shd w:val="pct15" w:color="auto" w:fill="FFFFFF"/>
        </w:rPr>
        <w:t>八</w:t>
      </w:r>
      <w:r w:rsidRPr="008500E7">
        <w:rPr>
          <w:rFonts w:eastAsia="標楷體"/>
          <w:b/>
          <w:bCs/>
          <w:sz w:val="40"/>
          <w:szCs w:val="40"/>
          <w:shd w:val="pct15" w:color="auto" w:fill="FFFFFF"/>
        </w:rPr>
        <w:t>年度</w:t>
      </w:r>
      <w:r w:rsidR="001A2F46">
        <w:rPr>
          <w:rFonts w:eastAsia="標楷體" w:hint="eastAsia"/>
          <w:b/>
          <w:bCs/>
          <w:sz w:val="40"/>
          <w:szCs w:val="40"/>
          <w:shd w:val="pct15" w:color="auto" w:fill="FFFFFF"/>
        </w:rPr>
        <w:t>內控查核常見</w:t>
      </w:r>
      <w:r w:rsidRPr="008500E7">
        <w:rPr>
          <w:rFonts w:eastAsia="標楷體"/>
          <w:b/>
          <w:bCs/>
          <w:sz w:val="40"/>
          <w:szCs w:val="40"/>
          <w:shd w:val="pct15" w:color="auto" w:fill="FFFFFF"/>
        </w:rPr>
        <w:t>缺失彙總表</w:t>
      </w:r>
    </w:p>
    <w:p w14:paraId="7E0D8D8D" w14:textId="77777777" w:rsidR="007E70DA" w:rsidRPr="007E70DA" w:rsidRDefault="007E70DA" w:rsidP="005C548E">
      <w:pPr>
        <w:tabs>
          <w:tab w:val="left" w:pos="2700"/>
        </w:tabs>
        <w:jc w:val="center"/>
        <w:rPr>
          <w:rFonts w:eastAsia="標楷體"/>
          <w:b/>
          <w:bCs/>
          <w:szCs w:val="24"/>
        </w:rPr>
      </w:pPr>
    </w:p>
    <w:tbl>
      <w:tblPr>
        <w:tblW w:w="9498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501"/>
        <w:gridCol w:w="3260"/>
      </w:tblGrid>
      <w:tr w:rsidR="005C548E" w:rsidRPr="008500E7" w14:paraId="534B6641" w14:textId="77777777" w:rsidTr="006149F7">
        <w:trPr>
          <w:cantSplit/>
          <w:trHeight w:val="752"/>
          <w:tblHeader/>
        </w:trPr>
        <w:tc>
          <w:tcPr>
            <w:tcW w:w="6238" w:type="dxa"/>
            <w:gridSpan w:val="2"/>
            <w:tcBorders>
              <w:bottom w:val="nil"/>
            </w:tcBorders>
          </w:tcPr>
          <w:p w14:paraId="7116F2D0" w14:textId="77777777" w:rsidR="005C548E" w:rsidRPr="008500E7" w:rsidRDefault="005C548E" w:rsidP="00DD0555">
            <w:pPr>
              <w:spacing w:before="120" w:after="120"/>
              <w:ind w:left="57" w:right="57"/>
              <w:jc w:val="distribute"/>
              <w:rPr>
                <w:rFonts w:eastAsia="標楷體"/>
                <w:sz w:val="28"/>
              </w:rPr>
            </w:pPr>
            <w:r w:rsidRPr="008500E7">
              <w:rPr>
                <w:rFonts w:eastAsia="標楷體"/>
                <w:sz w:val="28"/>
              </w:rPr>
              <w:t>缺失事項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186E1C96" w14:textId="77777777" w:rsidR="005C548E" w:rsidRPr="008500E7" w:rsidRDefault="00E8517B" w:rsidP="00DD0555">
            <w:pPr>
              <w:spacing w:before="120" w:after="120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法規索引</w:t>
            </w:r>
          </w:p>
        </w:tc>
      </w:tr>
      <w:tr w:rsidR="005C548E" w:rsidRPr="002C7102" w14:paraId="3E6B6ACC" w14:textId="77777777" w:rsidTr="007E70D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EBB8F" w14:textId="77777777" w:rsidR="005C548E" w:rsidRPr="002C7102" w:rsidRDefault="00DB787D" w:rsidP="00521F4D">
            <w:pPr>
              <w:spacing w:before="180" w:after="180" w:line="440" w:lineRule="exact"/>
              <w:ind w:left="57" w:right="5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內控內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稽</w:t>
            </w:r>
            <w:proofErr w:type="gramEnd"/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</w:tcPr>
          <w:p w14:paraId="11064EC4" w14:textId="61E428BD" w:rsidR="003F3C4D" w:rsidRDefault="00CA09B5" w:rsidP="003F3C4D">
            <w:pPr>
              <w:pStyle w:val="a7"/>
              <w:numPr>
                <w:ilvl w:val="0"/>
                <w:numId w:val="2"/>
              </w:numPr>
              <w:spacing w:line="4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3F3C4D">
              <w:rPr>
                <w:rFonts w:eastAsia="標楷體" w:hint="eastAsia"/>
                <w:sz w:val="28"/>
                <w:szCs w:val="28"/>
              </w:rPr>
              <w:t>公司未將法規要求之必要稽核項目列入年度稽核計劃</w:t>
            </w:r>
            <w:r w:rsidR="004343E8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08FBB45A" w14:textId="77777777" w:rsidR="00F17045" w:rsidRDefault="00F17045" w:rsidP="00F17045">
            <w:pPr>
              <w:pStyle w:val="a7"/>
              <w:spacing w:line="420" w:lineRule="exact"/>
              <w:ind w:leftChars="0" w:left="360"/>
              <w:jc w:val="both"/>
              <w:rPr>
                <w:rFonts w:eastAsia="標楷體"/>
                <w:sz w:val="28"/>
                <w:szCs w:val="28"/>
              </w:rPr>
            </w:pPr>
          </w:p>
          <w:p w14:paraId="3A85AD85" w14:textId="77777777" w:rsidR="003F3C4D" w:rsidRPr="003F3C4D" w:rsidRDefault="003F3C4D" w:rsidP="003F3C4D">
            <w:pPr>
              <w:pStyle w:val="a7"/>
              <w:spacing w:line="420" w:lineRule="exact"/>
              <w:ind w:leftChars="0" w:left="360"/>
              <w:jc w:val="both"/>
              <w:rPr>
                <w:rFonts w:eastAsia="標楷體"/>
                <w:sz w:val="28"/>
                <w:szCs w:val="28"/>
              </w:rPr>
            </w:pPr>
          </w:p>
          <w:p w14:paraId="75EAB2DE" w14:textId="37466646" w:rsidR="00CF1D0B" w:rsidRPr="00CF1D0B" w:rsidRDefault="00F20C5E" w:rsidP="00CF1D0B">
            <w:pPr>
              <w:pStyle w:val="a7"/>
              <w:numPr>
                <w:ilvl w:val="0"/>
                <w:numId w:val="2"/>
              </w:numPr>
              <w:spacing w:line="4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公司之</w:t>
            </w:r>
            <w:r w:rsidR="006354B3" w:rsidRPr="00CF1D0B">
              <w:rPr>
                <w:rFonts w:eastAsia="標楷體" w:hint="eastAsia"/>
                <w:sz w:val="28"/>
                <w:szCs w:val="28"/>
              </w:rPr>
              <w:t>稽核單位</w:t>
            </w:r>
            <w:r w:rsidR="00DC4988" w:rsidRPr="00CF1D0B">
              <w:rPr>
                <w:rFonts w:eastAsia="標楷體" w:hint="eastAsia"/>
                <w:sz w:val="28"/>
                <w:szCs w:val="28"/>
              </w:rPr>
              <w:t>雖有執行財務報表編製流程管理之稽核項目，惟未執行「適用國際財務報導準則之管理</w:t>
            </w:r>
            <w:r w:rsidR="00852697" w:rsidRPr="00CF1D0B">
              <w:rPr>
                <w:rFonts w:eastAsia="標楷體" w:hint="eastAsia"/>
                <w:sz w:val="28"/>
                <w:szCs w:val="28"/>
              </w:rPr>
              <w:t>」</w:t>
            </w:r>
            <w:r w:rsidR="00DC4988" w:rsidRPr="00CF1D0B">
              <w:rPr>
                <w:rFonts w:eastAsia="標楷體" w:hint="eastAsia"/>
                <w:sz w:val="28"/>
                <w:szCs w:val="28"/>
              </w:rPr>
              <w:t>、</w:t>
            </w:r>
            <w:r w:rsidR="00852697" w:rsidRPr="00CF1D0B">
              <w:rPr>
                <w:rFonts w:eastAsia="標楷體" w:hint="eastAsia"/>
                <w:sz w:val="28"/>
                <w:szCs w:val="28"/>
              </w:rPr>
              <w:t>「</w:t>
            </w:r>
            <w:r w:rsidR="00DC4988" w:rsidRPr="00CF1D0B">
              <w:rPr>
                <w:rFonts w:eastAsia="標楷體" w:hint="eastAsia"/>
                <w:sz w:val="28"/>
                <w:szCs w:val="28"/>
              </w:rPr>
              <w:t>會計專業判斷程序</w:t>
            </w:r>
            <w:r w:rsidR="00852697" w:rsidRPr="00CF1D0B">
              <w:rPr>
                <w:rFonts w:eastAsia="標楷體" w:hint="eastAsia"/>
                <w:sz w:val="28"/>
                <w:szCs w:val="28"/>
              </w:rPr>
              <w:t>」</w:t>
            </w:r>
            <w:r w:rsidR="00DC4988" w:rsidRPr="00CF1D0B">
              <w:rPr>
                <w:rFonts w:eastAsia="標楷體" w:hint="eastAsia"/>
                <w:sz w:val="28"/>
                <w:szCs w:val="28"/>
              </w:rPr>
              <w:t>、</w:t>
            </w:r>
            <w:r w:rsidR="00852697" w:rsidRPr="00CF1D0B">
              <w:rPr>
                <w:rFonts w:eastAsia="標楷體" w:hint="eastAsia"/>
                <w:sz w:val="28"/>
                <w:szCs w:val="28"/>
              </w:rPr>
              <w:t>「</w:t>
            </w:r>
            <w:r w:rsidR="00DC4988" w:rsidRPr="00CF1D0B">
              <w:rPr>
                <w:rFonts w:eastAsia="標楷體" w:hint="eastAsia"/>
                <w:sz w:val="28"/>
                <w:szCs w:val="28"/>
              </w:rPr>
              <w:t>會計政策與估計變動之流程」等</w:t>
            </w:r>
            <w:r w:rsidR="00852697" w:rsidRPr="00CF1D0B">
              <w:rPr>
                <w:rFonts w:eastAsia="標楷體" w:hint="eastAsia"/>
                <w:sz w:val="28"/>
                <w:szCs w:val="28"/>
              </w:rPr>
              <w:t>相關項目之</w:t>
            </w:r>
            <w:r w:rsidR="00DC4988" w:rsidRPr="00CF1D0B">
              <w:rPr>
                <w:rFonts w:eastAsia="標楷體" w:hint="eastAsia"/>
                <w:sz w:val="28"/>
                <w:szCs w:val="28"/>
              </w:rPr>
              <w:t>稽核作業</w:t>
            </w:r>
            <w:r w:rsidR="004343E8" w:rsidRPr="00CF1D0B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029DAC61" w14:textId="77777777" w:rsidR="00CF1D0B" w:rsidRDefault="00CF1D0B" w:rsidP="00CF1D0B">
            <w:pPr>
              <w:pStyle w:val="a7"/>
              <w:spacing w:line="420" w:lineRule="exact"/>
              <w:ind w:leftChars="0" w:left="360"/>
              <w:jc w:val="both"/>
              <w:rPr>
                <w:rFonts w:eastAsia="標楷體"/>
                <w:sz w:val="28"/>
                <w:szCs w:val="28"/>
              </w:rPr>
            </w:pPr>
          </w:p>
          <w:p w14:paraId="3AE28FAB" w14:textId="0418D160" w:rsidR="00CF1D0B" w:rsidRDefault="004E4F48" w:rsidP="00CF1D0B">
            <w:pPr>
              <w:pStyle w:val="a7"/>
              <w:numPr>
                <w:ilvl w:val="0"/>
                <w:numId w:val="2"/>
              </w:numPr>
              <w:spacing w:line="4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3F3C4D">
              <w:rPr>
                <w:rFonts w:eastAsia="標楷體" w:hint="eastAsia"/>
                <w:sz w:val="28"/>
                <w:szCs w:val="28"/>
              </w:rPr>
              <w:t>公司</w:t>
            </w:r>
            <w:r w:rsidR="006354B3" w:rsidRPr="003F3C4D">
              <w:rPr>
                <w:rFonts w:eastAsia="標楷體" w:hint="eastAsia"/>
                <w:sz w:val="28"/>
                <w:szCs w:val="28"/>
              </w:rPr>
              <w:t>未</w:t>
            </w:r>
            <w:r w:rsidR="006F71A3">
              <w:rPr>
                <w:rFonts w:eastAsia="標楷體" w:hint="eastAsia"/>
                <w:sz w:val="28"/>
                <w:szCs w:val="28"/>
              </w:rPr>
              <w:t>就其</w:t>
            </w:r>
            <w:r w:rsidR="006354B3" w:rsidRPr="003F3C4D">
              <w:rPr>
                <w:rFonts w:eastAsia="標楷體" w:hint="eastAsia"/>
                <w:sz w:val="28"/>
                <w:szCs w:val="28"/>
              </w:rPr>
              <w:t>內控</w:t>
            </w:r>
            <w:r w:rsidR="006F71A3">
              <w:rPr>
                <w:rFonts w:eastAsia="標楷體" w:hint="eastAsia"/>
                <w:sz w:val="28"/>
                <w:szCs w:val="28"/>
              </w:rPr>
              <w:t>制度</w:t>
            </w:r>
            <w:r w:rsidR="006F71A3">
              <w:rPr>
                <w:rFonts w:eastAsia="標楷體" w:hint="eastAsia"/>
                <w:sz w:val="28"/>
                <w:szCs w:val="28"/>
              </w:rPr>
              <w:t>(</w:t>
            </w:r>
            <w:r w:rsidR="006F71A3">
              <w:rPr>
                <w:rFonts w:eastAsia="標楷體" w:hint="eastAsia"/>
                <w:sz w:val="28"/>
                <w:szCs w:val="28"/>
              </w:rPr>
              <w:t>完整</w:t>
            </w:r>
            <w:r w:rsidR="006F71A3">
              <w:rPr>
                <w:rFonts w:eastAsia="標楷體" w:hint="eastAsia"/>
                <w:sz w:val="28"/>
                <w:szCs w:val="28"/>
              </w:rPr>
              <w:t>)</w:t>
            </w:r>
            <w:r w:rsidR="006F71A3">
              <w:rPr>
                <w:rFonts w:eastAsia="標楷體" w:hint="eastAsia"/>
                <w:sz w:val="28"/>
                <w:szCs w:val="28"/>
              </w:rPr>
              <w:t>訂定相關</w:t>
            </w:r>
            <w:r w:rsidR="006354B3" w:rsidRPr="003F3C4D">
              <w:rPr>
                <w:rFonts w:eastAsia="標楷體" w:hint="eastAsia"/>
                <w:sz w:val="28"/>
                <w:szCs w:val="28"/>
              </w:rPr>
              <w:t>之內部稽核實施細則</w:t>
            </w:r>
            <w:r w:rsidR="006F71A3">
              <w:rPr>
                <w:rFonts w:eastAsia="標楷體" w:hint="eastAsia"/>
                <w:sz w:val="28"/>
                <w:szCs w:val="28"/>
              </w:rPr>
              <w:t>，並經董事會通過</w:t>
            </w:r>
            <w:r w:rsidR="004343E8">
              <w:rPr>
                <w:rFonts w:eastAsia="標楷體" w:hint="eastAsia"/>
                <w:sz w:val="28"/>
                <w:szCs w:val="28"/>
              </w:rPr>
              <w:t>；</w:t>
            </w:r>
            <w:r w:rsidR="0028773C">
              <w:rPr>
                <w:rFonts w:eastAsia="標楷體" w:hint="eastAsia"/>
                <w:sz w:val="28"/>
                <w:szCs w:val="28"/>
              </w:rPr>
              <w:t>或</w:t>
            </w:r>
            <w:r w:rsidR="00F20C5E">
              <w:rPr>
                <w:rFonts w:eastAsia="標楷體" w:hint="eastAsia"/>
                <w:sz w:val="28"/>
                <w:szCs w:val="28"/>
              </w:rPr>
              <w:t>公司之</w:t>
            </w:r>
            <w:r w:rsidR="00F20C5E" w:rsidRPr="00CF1D0B">
              <w:rPr>
                <w:rFonts w:eastAsia="標楷體" w:hint="eastAsia"/>
                <w:sz w:val="28"/>
                <w:szCs w:val="28"/>
              </w:rPr>
              <w:t>稽核單位</w:t>
            </w:r>
            <w:r w:rsidR="0028773C">
              <w:rPr>
                <w:rFonts w:eastAsia="標楷體" w:hint="eastAsia"/>
                <w:sz w:val="28"/>
                <w:szCs w:val="28"/>
              </w:rPr>
              <w:t>未依其</w:t>
            </w:r>
            <w:r w:rsidR="0028773C" w:rsidRPr="003F3C4D">
              <w:rPr>
                <w:rFonts w:eastAsia="標楷體" w:hint="eastAsia"/>
                <w:sz w:val="28"/>
                <w:szCs w:val="28"/>
              </w:rPr>
              <w:t>內部稽核實施細則</w:t>
            </w:r>
            <w:r w:rsidR="0028773C">
              <w:rPr>
                <w:rFonts w:eastAsia="標楷體" w:hint="eastAsia"/>
                <w:sz w:val="28"/>
                <w:szCs w:val="28"/>
              </w:rPr>
              <w:t>規範之程序執行內部稽核作業</w:t>
            </w:r>
            <w:r w:rsidR="004343E8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5C97420F" w14:textId="77777777" w:rsidR="00CF1D0B" w:rsidRDefault="00CF1D0B" w:rsidP="00CF1D0B">
            <w:pPr>
              <w:pStyle w:val="a7"/>
              <w:spacing w:line="420" w:lineRule="exact"/>
              <w:ind w:leftChars="0" w:left="360"/>
              <w:jc w:val="both"/>
              <w:rPr>
                <w:rFonts w:eastAsia="標楷體"/>
                <w:sz w:val="28"/>
                <w:szCs w:val="28"/>
              </w:rPr>
            </w:pPr>
          </w:p>
          <w:p w14:paraId="6170070D" w14:textId="7E6C2107" w:rsidR="00CA09B5" w:rsidRPr="00CF1D0B" w:rsidRDefault="00F20C5E" w:rsidP="00CF1D0B">
            <w:pPr>
              <w:pStyle w:val="a7"/>
              <w:numPr>
                <w:ilvl w:val="0"/>
                <w:numId w:val="2"/>
              </w:numPr>
              <w:spacing w:line="4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公司</w:t>
            </w:r>
            <w:r w:rsidR="000479A5">
              <w:rPr>
                <w:rFonts w:eastAsia="標楷體" w:hint="eastAsia"/>
                <w:sz w:val="28"/>
                <w:szCs w:val="28"/>
              </w:rPr>
              <w:t>之</w:t>
            </w:r>
            <w:r w:rsidR="006354B3" w:rsidRPr="00CF1D0B">
              <w:rPr>
                <w:rFonts w:eastAsia="標楷體" w:hint="eastAsia"/>
                <w:sz w:val="28"/>
                <w:szCs w:val="28"/>
              </w:rPr>
              <w:t>內部稽核</w:t>
            </w:r>
            <w:r>
              <w:rPr>
                <w:rFonts w:eastAsia="標楷體" w:hint="eastAsia"/>
                <w:sz w:val="28"/>
                <w:szCs w:val="28"/>
              </w:rPr>
              <w:t>單位</w:t>
            </w:r>
            <w:r w:rsidR="006354B3" w:rsidRPr="00CF1D0B">
              <w:rPr>
                <w:rFonts w:eastAsia="標楷體" w:hint="eastAsia"/>
                <w:sz w:val="28"/>
                <w:szCs w:val="28"/>
              </w:rPr>
              <w:t>未將</w:t>
            </w:r>
            <w:r w:rsidR="000479A5">
              <w:rPr>
                <w:rFonts w:eastAsia="標楷體" w:hint="eastAsia"/>
                <w:sz w:val="28"/>
                <w:szCs w:val="28"/>
              </w:rPr>
              <w:t>公司</w:t>
            </w:r>
            <w:r w:rsidR="006354B3" w:rsidRPr="00CF1D0B">
              <w:rPr>
                <w:rFonts w:eastAsia="標楷體" w:hint="eastAsia"/>
                <w:sz w:val="28"/>
                <w:szCs w:val="28"/>
              </w:rPr>
              <w:t>內部控制制度缺失</w:t>
            </w:r>
            <w:r w:rsidR="000479A5">
              <w:rPr>
                <w:rFonts w:eastAsia="標楷體" w:hint="eastAsia"/>
                <w:sz w:val="28"/>
                <w:szCs w:val="28"/>
              </w:rPr>
              <w:t>及異常事項</w:t>
            </w:r>
            <w:r w:rsidR="00632245" w:rsidRPr="00CF1D0B">
              <w:rPr>
                <w:rFonts w:eastAsia="標楷體" w:hint="eastAsia"/>
                <w:sz w:val="28"/>
                <w:szCs w:val="28"/>
              </w:rPr>
              <w:t>至少</w:t>
            </w:r>
            <w:r w:rsidR="006354B3" w:rsidRPr="00CF1D0B">
              <w:rPr>
                <w:rFonts w:eastAsia="標楷體" w:hint="eastAsia"/>
                <w:sz w:val="28"/>
                <w:szCs w:val="28"/>
              </w:rPr>
              <w:t>按季作成追蹤報告</w:t>
            </w:r>
            <w:r w:rsidR="000479A5">
              <w:rPr>
                <w:rFonts w:eastAsia="標楷體" w:hint="eastAsia"/>
                <w:sz w:val="28"/>
                <w:szCs w:val="28"/>
              </w:rPr>
              <w:t>至改善為止。</w:t>
            </w:r>
          </w:p>
          <w:p w14:paraId="2C1582AF" w14:textId="07F823A0" w:rsidR="005C548E" w:rsidRPr="002C7102" w:rsidRDefault="005C548E" w:rsidP="00DD0555">
            <w:pPr>
              <w:ind w:left="258" w:hangingChars="92" w:hanging="25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B8E51B4" w14:textId="4A01F31F" w:rsidR="005C548E" w:rsidRDefault="005C548E" w:rsidP="00DD0555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C7102">
              <w:rPr>
                <w:rFonts w:eastAsia="標楷體"/>
                <w:sz w:val="28"/>
                <w:szCs w:val="28"/>
              </w:rPr>
              <w:t>應依「</w:t>
            </w:r>
            <w:r w:rsidR="00CA09B5" w:rsidRPr="00CA09B5">
              <w:rPr>
                <w:rFonts w:eastAsia="標楷體" w:hint="eastAsia"/>
                <w:sz w:val="28"/>
                <w:szCs w:val="28"/>
              </w:rPr>
              <w:t>公開發行公司建立內部控制制度處理準則</w:t>
            </w:r>
            <w:r w:rsidRPr="002C7102">
              <w:rPr>
                <w:rFonts w:eastAsia="標楷體"/>
                <w:sz w:val="28"/>
                <w:szCs w:val="28"/>
              </w:rPr>
              <w:t>」</w:t>
            </w:r>
            <w:r w:rsidR="00CA09B5">
              <w:rPr>
                <w:rFonts w:eastAsia="標楷體" w:hint="eastAsia"/>
                <w:sz w:val="28"/>
                <w:szCs w:val="28"/>
              </w:rPr>
              <w:t>第</w:t>
            </w:r>
            <w:r w:rsidR="00CA09B5">
              <w:rPr>
                <w:rFonts w:eastAsia="標楷體" w:hint="eastAsia"/>
                <w:sz w:val="28"/>
                <w:szCs w:val="28"/>
              </w:rPr>
              <w:t>13</w:t>
            </w:r>
            <w:r w:rsidR="00CA09B5">
              <w:rPr>
                <w:rFonts w:eastAsia="標楷體" w:hint="eastAsia"/>
                <w:sz w:val="28"/>
                <w:szCs w:val="28"/>
              </w:rPr>
              <w:t>條</w:t>
            </w:r>
            <w:r w:rsidRPr="002C7102">
              <w:rPr>
                <w:rFonts w:eastAsia="標楷體"/>
                <w:sz w:val="28"/>
                <w:szCs w:val="28"/>
              </w:rPr>
              <w:t>規定辦理。</w:t>
            </w:r>
          </w:p>
          <w:p w14:paraId="47D8C401" w14:textId="77777777" w:rsidR="00F17045" w:rsidRPr="00F17045" w:rsidRDefault="00F17045" w:rsidP="00DD0555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482166EC" w14:textId="0E2F0236" w:rsidR="004E4F48" w:rsidRDefault="006F71A3" w:rsidP="00DD0555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C7102">
              <w:rPr>
                <w:rFonts w:eastAsia="標楷體"/>
                <w:sz w:val="28"/>
                <w:szCs w:val="28"/>
              </w:rPr>
              <w:t>應依「</w:t>
            </w:r>
            <w:r w:rsidRPr="00CA09B5">
              <w:rPr>
                <w:rFonts w:eastAsia="標楷體" w:hint="eastAsia"/>
                <w:sz w:val="28"/>
                <w:szCs w:val="28"/>
              </w:rPr>
              <w:t>公開發行公司建立內部控制制度處理準則</w:t>
            </w:r>
            <w:r w:rsidRPr="002C7102">
              <w:rPr>
                <w:rFonts w:eastAsia="標楷體"/>
                <w:sz w:val="28"/>
                <w:szCs w:val="28"/>
              </w:rPr>
              <w:t>」</w:t>
            </w: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 w:hint="eastAsia"/>
                <w:sz w:val="28"/>
                <w:szCs w:val="28"/>
              </w:rPr>
              <w:t>條第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項第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目</w:t>
            </w:r>
            <w:r w:rsidRPr="002C7102">
              <w:rPr>
                <w:rFonts w:eastAsia="標楷體"/>
                <w:sz w:val="28"/>
                <w:szCs w:val="28"/>
              </w:rPr>
              <w:t>規定辦理。</w:t>
            </w:r>
          </w:p>
          <w:p w14:paraId="086EE90B" w14:textId="2677B561" w:rsidR="006F71A3" w:rsidRDefault="006F71A3" w:rsidP="00DD0555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59760701" w14:textId="77777777" w:rsidR="00F20C5E" w:rsidRDefault="00F20C5E" w:rsidP="00DD0555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565F7561" w14:textId="36DC86E0" w:rsidR="006F71A3" w:rsidRDefault="006F71A3" w:rsidP="006F71A3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C7102">
              <w:rPr>
                <w:rFonts w:eastAsia="標楷體"/>
                <w:sz w:val="28"/>
                <w:szCs w:val="28"/>
              </w:rPr>
              <w:t>應依「</w:t>
            </w:r>
            <w:r w:rsidRPr="00CA09B5">
              <w:rPr>
                <w:rFonts w:eastAsia="標楷體" w:hint="eastAsia"/>
                <w:sz w:val="28"/>
                <w:szCs w:val="28"/>
              </w:rPr>
              <w:t>公開發行公司建立內部控制制度處理準則</w:t>
            </w:r>
            <w:r w:rsidRPr="002C7102">
              <w:rPr>
                <w:rFonts w:eastAsia="標楷體"/>
                <w:sz w:val="28"/>
                <w:szCs w:val="28"/>
              </w:rPr>
              <w:t>」</w:t>
            </w:r>
            <w:r>
              <w:rPr>
                <w:rFonts w:eastAsia="標楷體" w:hint="eastAsia"/>
                <w:sz w:val="28"/>
                <w:szCs w:val="28"/>
              </w:rPr>
              <w:t>第</w:t>
            </w:r>
            <w:r w:rsidR="0028773C">
              <w:rPr>
                <w:rFonts w:eastAsia="標楷體" w:hint="eastAsia"/>
                <w:sz w:val="28"/>
                <w:szCs w:val="28"/>
              </w:rPr>
              <w:t>4</w:t>
            </w:r>
            <w:r w:rsidR="004343E8">
              <w:rPr>
                <w:rFonts w:eastAsia="標楷體" w:hint="eastAsia"/>
                <w:sz w:val="28"/>
                <w:szCs w:val="28"/>
              </w:rPr>
              <w:t>、</w:t>
            </w:r>
            <w:r w:rsidR="00E3152C">
              <w:rPr>
                <w:rFonts w:eastAsia="標楷體" w:hint="eastAsia"/>
                <w:sz w:val="28"/>
                <w:szCs w:val="28"/>
              </w:rPr>
              <w:t>7</w:t>
            </w:r>
            <w:r w:rsidR="00E3152C">
              <w:rPr>
                <w:rFonts w:eastAsia="標楷體" w:hint="eastAsia"/>
                <w:sz w:val="28"/>
                <w:szCs w:val="28"/>
              </w:rPr>
              <w:t>、</w:t>
            </w:r>
            <w:r w:rsidR="00E3152C">
              <w:rPr>
                <w:rFonts w:eastAsia="標楷體" w:hint="eastAsia"/>
                <w:sz w:val="28"/>
                <w:szCs w:val="28"/>
              </w:rPr>
              <w:t>8</w:t>
            </w:r>
            <w:r w:rsidR="00E3152C">
              <w:rPr>
                <w:rFonts w:eastAsia="標楷體" w:hint="eastAsia"/>
                <w:sz w:val="28"/>
                <w:szCs w:val="28"/>
              </w:rPr>
              <w:t>、</w:t>
            </w:r>
            <w:r w:rsidR="00E3152C">
              <w:rPr>
                <w:rFonts w:eastAsia="標楷體" w:hint="eastAsia"/>
                <w:sz w:val="28"/>
                <w:szCs w:val="28"/>
              </w:rPr>
              <w:t>9</w:t>
            </w:r>
            <w:r w:rsidR="00E3152C">
              <w:rPr>
                <w:rFonts w:eastAsia="標楷體" w:hint="eastAsia"/>
                <w:sz w:val="28"/>
                <w:szCs w:val="28"/>
              </w:rPr>
              <w:t>、</w:t>
            </w:r>
            <w:r w:rsidR="00E3152C">
              <w:rPr>
                <w:rFonts w:eastAsia="標楷體" w:hint="eastAsia"/>
                <w:sz w:val="28"/>
                <w:szCs w:val="28"/>
              </w:rPr>
              <w:t>10</w:t>
            </w:r>
            <w:r w:rsidR="00E3152C">
              <w:rPr>
                <w:rFonts w:eastAsia="標楷體" w:hint="eastAsia"/>
                <w:sz w:val="28"/>
                <w:szCs w:val="28"/>
              </w:rPr>
              <w:t>、</w:t>
            </w:r>
            <w:r w:rsidR="00E3152C">
              <w:rPr>
                <w:rFonts w:eastAsia="標楷體" w:hint="eastAsia"/>
                <w:sz w:val="28"/>
                <w:szCs w:val="28"/>
              </w:rPr>
              <w:t>12</w:t>
            </w:r>
            <w:r w:rsidR="00E3152C">
              <w:rPr>
                <w:rFonts w:eastAsia="標楷體" w:hint="eastAsia"/>
                <w:sz w:val="28"/>
                <w:szCs w:val="28"/>
              </w:rPr>
              <w:t>、</w:t>
            </w:r>
            <w:r w:rsidR="00E3152C">
              <w:rPr>
                <w:rFonts w:eastAsia="標楷體" w:hint="eastAsia"/>
                <w:sz w:val="28"/>
                <w:szCs w:val="28"/>
              </w:rPr>
              <w:t>13</w:t>
            </w:r>
            <w:r w:rsidR="00E3152C">
              <w:rPr>
                <w:rFonts w:eastAsia="標楷體" w:hint="eastAsia"/>
                <w:sz w:val="28"/>
                <w:szCs w:val="28"/>
              </w:rPr>
              <w:t>條</w:t>
            </w:r>
            <w:r w:rsidRPr="002C7102">
              <w:rPr>
                <w:rFonts w:eastAsia="標楷體"/>
                <w:sz w:val="28"/>
                <w:szCs w:val="28"/>
              </w:rPr>
              <w:t>規定辦理。</w:t>
            </w:r>
          </w:p>
          <w:p w14:paraId="130563DC" w14:textId="77777777" w:rsidR="006F71A3" w:rsidRDefault="006F71A3" w:rsidP="00DD0555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5E2F6224" w14:textId="77777777" w:rsidR="00F20C5E" w:rsidRDefault="00F20C5E" w:rsidP="00DD0555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C7102">
              <w:rPr>
                <w:rFonts w:eastAsia="標楷體"/>
                <w:sz w:val="28"/>
                <w:szCs w:val="28"/>
              </w:rPr>
              <w:t>應依「</w:t>
            </w:r>
            <w:r w:rsidRPr="00CA09B5">
              <w:rPr>
                <w:rFonts w:eastAsia="標楷體" w:hint="eastAsia"/>
                <w:sz w:val="28"/>
                <w:szCs w:val="28"/>
              </w:rPr>
              <w:t>公開發行公司建立內部控制制度處理準則</w:t>
            </w:r>
            <w:r w:rsidRPr="002C7102">
              <w:rPr>
                <w:rFonts w:eastAsia="標楷體"/>
                <w:sz w:val="28"/>
                <w:szCs w:val="28"/>
              </w:rPr>
              <w:t>」</w:t>
            </w: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>
              <w:rPr>
                <w:rFonts w:eastAsia="標楷體" w:hint="eastAsia"/>
                <w:sz w:val="28"/>
                <w:szCs w:val="28"/>
              </w:rPr>
              <w:t>條</w:t>
            </w:r>
            <w:r w:rsidR="000479A5">
              <w:rPr>
                <w:rFonts w:eastAsia="標楷體" w:hint="eastAsia"/>
                <w:sz w:val="28"/>
                <w:szCs w:val="28"/>
              </w:rPr>
              <w:t>第</w:t>
            </w:r>
            <w:r w:rsidR="000479A5">
              <w:rPr>
                <w:rFonts w:eastAsia="標楷體" w:hint="eastAsia"/>
                <w:sz w:val="28"/>
                <w:szCs w:val="28"/>
              </w:rPr>
              <w:t>1</w:t>
            </w:r>
            <w:r w:rsidR="000479A5">
              <w:rPr>
                <w:rFonts w:eastAsia="標楷體" w:hint="eastAsia"/>
                <w:sz w:val="28"/>
                <w:szCs w:val="28"/>
              </w:rPr>
              <w:t>、</w:t>
            </w:r>
            <w:r w:rsidR="000479A5">
              <w:rPr>
                <w:rFonts w:eastAsia="標楷體" w:hint="eastAsia"/>
                <w:sz w:val="28"/>
                <w:szCs w:val="28"/>
              </w:rPr>
              <w:t>3</w:t>
            </w:r>
            <w:r w:rsidR="000479A5">
              <w:rPr>
                <w:rFonts w:eastAsia="標楷體" w:hint="eastAsia"/>
                <w:sz w:val="28"/>
                <w:szCs w:val="28"/>
              </w:rPr>
              <w:t>項</w:t>
            </w:r>
            <w:r w:rsidRPr="002C7102">
              <w:rPr>
                <w:rFonts w:eastAsia="標楷體"/>
                <w:sz w:val="28"/>
                <w:szCs w:val="28"/>
              </w:rPr>
              <w:t>規定辦理。</w:t>
            </w:r>
          </w:p>
          <w:p w14:paraId="50433C41" w14:textId="0772E7B3" w:rsidR="00285661" w:rsidRPr="006F71A3" w:rsidRDefault="00285661" w:rsidP="00DD0555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249BB" w:rsidRPr="002C7102" w14:paraId="1AD62D7B" w14:textId="77777777" w:rsidTr="007E70D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9A32A" w14:textId="1058D84E" w:rsidR="007249BB" w:rsidRPr="002C7102" w:rsidRDefault="00786AEB" w:rsidP="00521F4D">
            <w:pPr>
              <w:spacing w:before="180" w:after="180" w:line="440" w:lineRule="exact"/>
              <w:ind w:left="57" w:right="57"/>
              <w:jc w:val="both"/>
              <w:rPr>
                <w:rFonts w:eastAsia="標楷體"/>
                <w:sz w:val="28"/>
                <w:szCs w:val="28"/>
              </w:rPr>
            </w:pPr>
            <w:r w:rsidRPr="002C7102">
              <w:rPr>
                <w:rFonts w:eastAsia="標楷體" w:hint="eastAsia"/>
                <w:sz w:val="28"/>
                <w:szCs w:val="28"/>
              </w:rPr>
              <w:t>取得或處分資產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</w:tcPr>
          <w:p w14:paraId="2F859B3B" w14:textId="04FC3C2E" w:rsidR="006F13E7" w:rsidRDefault="00FA47C0" w:rsidP="006F13E7">
            <w:pPr>
              <w:pStyle w:val="a7"/>
              <w:numPr>
                <w:ilvl w:val="0"/>
                <w:numId w:val="5"/>
              </w:numPr>
              <w:spacing w:line="4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3F3C4D">
              <w:rPr>
                <w:rFonts w:eastAsia="標楷體" w:hint="eastAsia"/>
                <w:sz w:val="28"/>
                <w:szCs w:val="28"/>
              </w:rPr>
              <w:t>公司</w:t>
            </w:r>
            <w:r w:rsidR="001C55EC">
              <w:rPr>
                <w:rFonts w:eastAsia="標楷體" w:hint="eastAsia"/>
                <w:sz w:val="28"/>
                <w:szCs w:val="28"/>
              </w:rPr>
              <w:t>之</w:t>
            </w:r>
            <w:r w:rsidR="00363FE7" w:rsidRPr="001C55EC">
              <w:rPr>
                <w:rFonts w:eastAsia="標楷體"/>
                <w:sz w:val="28"/>
                <w:szCs w:val="28"/>
              </w:rPr>
              <w:t>取得或處分</w:t>
            </w:r>
            <w:r w:rsidR="001C55EC" w:rsidRPr="001C55EC">
              <w:rPr>
                <w:rFonts w:eastAsia="標楷體" w:hint="eastAsia"/>
                <w:sz w:val="28"/>
                <w:szCs w:val="28"/>
              </w:rPr>
              <w:t>資產</w:t>
            </w:r>
            <w:r w:rsidR="00363FE7" w:rsidRPr="001C55EC">
              <w:rPr>
                <w:rFonts w:eastAsia="標楷體"/>
                <w:sz w:val="28"/>
                <w:szCs w:val="28"/>
              </w:rPr>
              <w:t>處理程序未</w:t>
            </w:r>
            <w:r w:rsidR="001C55EC" w:rsidRPr="001C55EC">
              <w:rPr>
                <w:rFonts w:eastAsia="標楷體" w:hint="eastAsia"/>
                <w:sz w:val="28"/>
                <w:szCs w:val="28"/>
              </w:rPr>
              <w:t>確實</w:t>
            </w:r>
            <w:r w:rsidR="00363FE7" w:rsidRPr="001C55EC">
              <w:rPr>
                <w:rFonts w:eastAsia="標楷體"/>
                <w:sz w:val="28"/>
                <w:szCs w:val="28"/>
              </w:rPr>
              <w:t>明定從事衍生性商品交易之全部及個別契約損失上限</w:t>
            </w:r>
            <w:r w:rsidR="001C55EC" w:rsidRPr="001C55EC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5B9D6A7B" w14:textId="77777777" w:rsidR="006F13E7" w:rsidRDefault="006F13E7" w:rsidP="00D47C1F">
            <w:pPr>
              <w:pStyle w:val="a7"/>
              <w:spacing w:line="420" w:lineRule="exact"/>
              <w:ind w:leftChars="0" w:left="360"/>
              <w:jc w:val="both"/>
              <w:rPr>
                <w:rFonts w:eastAsia="標楷體"/>
                <w:sz w:val="28"/>
                <w:szCs w:val="28"/>
              </w:rPr>
            </w:pPr>
          </w:p>
          <w:p w14:paraId="5D48887A" w14:textId="042BBC8C" w:rsidR="00363FE7" w:rsidRPr="006F13E7" w:rsidRDefault="00363FE7" w:rsidP="006F13E7">
            <w:pPr>
              <w:pStyle w:val="a7"/>
              <w:numPr>
                <w:ilvl w:val="0"/>
                <w:numId w:val="5"/>
              </w:numPr>
              <w:spacing w:line="4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6F13E7">
              <w:rPr>
                <w:rFonts w:eastAsia="標楷體"/>
                <w:sz w:val="28"/>
                <w:szCs w:val="28"/>
              </w:rPr>
              <w:t>公司</w:t>
            </w:r>
            <w:r w:rsidR="006F13E7">
              <w:rPr>
                <w:rFonts w:eastAsia="標楷體" w:hint="eastAsia"/>
                <w:sz w:val="28"/>
                <w:szCs w:val="28"/>
              </w:rPr>
              <w:t>未於</w:t>
            </w:r>
            <w:r w:rsidRPr="006F13E7">
              <w:rPr>
                <w:rFonts w:eastAsia="標楷體"/>
                <w:sz w:val="28"/>
                <w:szCs w:val="28"/>
              </w:rPr>
              <w:t>衍生性商品交易備查</w:t>
            </w:r>
            <w:proofErr w:type="gramStart"/>
            <w:r w:rsidRPr="006F13E7">
              <w:rPr>
                <w:rFonts w:eastAsia="標楷體"/>
                <w:sz w:val="28"/>
                <w:szCs w:val="28"/>
              </w:rPr>
              <w:t>簿</w:t>
            </w:r>
            <w:proofErr w:type="gramEnd"/>
            <w:r w:rsidR="006F13E7">
              <w:rPr>
                <w:rFonts w:eastAsia="標楷體" w:hint="eastAsia"/>
                <w:sz w:val="28"/>
                <w:szCs w:val="28"/>
              </w:rPr>
              <w:t>詳實記載</w:t>
            </w:r>
            <w:r w:rsidRPr="006F13E7">
              <w:rPr>
                <w:rFonts w:eastAsia="標楷體"/>
                <w:sz w:val="28"/>
                <w:szCs w:val="28"/>
              </w:rPr>
              <w:t>董事會通過日期及評估事項。</w:t>
            </w:r>
          </w:p>
          <w:p w14:paraId="39F54D09" w14:textId="42A89D57" w:rsidR="00363FE7" w:rsidRPr="00363FE7" w:rsidRDefault="00363FE7" w:rsidP="00F418BD">
            <w:pPr>
              <w:adjustRightInd/>
              <w:spacing w:line="240" w:lineRule="auto"/>
              <w:ind w:right="57"/>
              <w:jc w:val="both"/>
              <w:textAlignment w:val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E89F244" w14:textId="77777777" w:rsidR="007249BB" w:rsidRDefault="00FA47C0" w:rsidP="00FA47C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C7102">
              <w:rPr>
                <w:rFonts w:eastAsia="標楷體"/>
                <w:sz w:val="28"/>
                <w:szCs w:val="28"/>
              </w:rPr>
              <w:t>應依「</w:t>
            </w:r>
            <w:r w:rsidR="001C55EC" w:rsidRPr="001C55EC">
              <w:rPr>
                <w:rFonts w:eastAsia="標楷體" w:hint="eastAsia"/>
                <w:sz w:val="28"/>
                <w:szCs w:val="28"/>
              </w:rPr>
              <w:t>公開發行公司取得或處分資產處理準則</w:t>
            </w:r>
            <w:r w:rsidRPr="002C7102">
              <w:rPr>
                <w:rFonts w:eastAsia="標楷體"/>
                <w:sz w:val="28"/>
                <w:szCs w:val="28"/>
              </w:rPr>
              <w:t>」</w:t>
            </w:r>
            <w:r w:rsidR="001C55EC" w:rsidRPr="001C55EC">
              <w:rPr>
                <w:rFonts w:eastAsia="標楷體" w:hint="eastAsia"/>
                <w:sz w:val="28"/>
                <w:szCs w:val="28"/>
              </w:rPr>
              <w:t>第</w:t>
            </w:r>
            <w:r w:rsidR="001C55EC" w:rsidRPr="001C55EC">
              <w:rPr>
                <w:rFonts w:eastAsia="標楷體" w:hint="eastAsia"/>
                <w:sz w:val="28"/>
                <w:szCs w:val="28"/>
              </w:rPr>
              <w:t>19</w:t>
            </w:r>
            <w:r w:rsidR="001C55EC" w:rsidRPr="001C55EC">
              <w:rPr>
                <w:rFonts w:eastAsia="標楷體" w:hint="eastAsia"/>
                <w:sz w:val="28"/>
                <w:szCs w:val="28"/>
              </w:rPr>
              <w:t>條</w:t>
            </w:r>
            <w:r w:rsidRPr="002C7102">
              <w:rPr>
                <w:rFonts w:eastAsia="標楷體"/>
                <w:sz w:val="28"/>
                <w:szCs w:val="28"/>
              </w:rPr>
              <w:t>規定辦理。</w:t>
            </w:r>
          </w:p>
          <w:p w14:paraId="5C31FE78" w14:textId="77777777" w:rsidR="006F13E7" w:rsidRDefault="006F13E7" w:rsidP="00FA47C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7F200191" w14:textId="64CBE4C8" w:rsidR="006F13E7" w:rsidRDefault="006F13E7" w:rsidP="006F13E7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C7102">
              <w:rPr>
                <w:rFonts w:eastAsia="標楷體"/>
                <w:sz w:val="28"/>
                <w:szCs w:val="28"/>
              </w:rPr>
              <w:t>應依「</w:t>
            </w:r>
            <w:r w:rsidRPr="001C55EC">
              <w:rPr>
                <w:rFonts w:eastAsia="標楷體" w:hint="eastAsia"/>
                <w:sz w:val="28"/>
                <w:szCs w:val="28"/>
              </w:rPr>
              <w:t>公開發行公司取得或處分資產處理準則</w:t>
            </w:r>
            <w:r w:rsidRPr="002C7102">
              <w:rPr>
                <w:rFonts w:eastAsia="標楷體"/>
                <w:sz w:val="28"/>
                <w:szCs w:val="28"/>
              </w:rPr>
              <w:t>」</w:t>
            </w:r>
            <w:r w:rsidR="00042251" w:rsidRPr="001C55EC">
              <w:rPr>
                <w:rFonts w:eastAsia="標楷體" w:hint="eastAsia"/>
                <w:sz w:val="28"/>
                <w:szCs w:val="28"/>
              </w:rPr>
              <w:t>第</w:t>
            </w:r>
            <w:r w:rsidR="00042251">
              <w:rPr>
                <w:rFonts w:eastAsia="標楷體" w:hint="eastAsia"/>
                <w:sz w:val="28"/>
                <w:szCs w:val="28"/>
              </w:rPr>
              <w:t>20</w:t>
            </w:r>
            <w:r w:rsidR="00042251" w:rsidRPr="001C55EC">
              <w:rPr>
                <w:rFonts w:eastAsia="標楷體" w:hint="eastAsia"/>
                <w:sz w:val="28"/>
                <w:szCs w:val="28"/>
              </w:rPr>
              <w:t>條</w:t>
            </w:r>
            <w:r w:rsidR="00042251">
              <w:rPr>
                <w:rFonts w:eastAsia="標楷體" w:hint="eastAsia"/>
                <w:sz w:val="28"/>
                <w:szCs w:val="28"/>
              </w:rPr>
              <w:t>第</w:t>
            </w:r>
            <w:r w:rsidR="00042251">
              <w:rPr>
                <w:rFonts w:eastAsia="標楷體" w:hint="eastAsia"/>
                <w:sz w:val="28"/>
                <w:szCs w:val="28"/>
              </w:rPr>
              <w:t>4</w:t>
            </w:r>
            <w:r w:rsidR="00042251">
              <w:rPr>
                <w:rFonts w:eastAsia="標楷體" w:hint="eastAsia"/>
                <w:sz w:val="28"/>
                <w:szCs w:val="28"/>
              </w:rPr>
              <w:t>款、</w:t>
            </w:r>
            <w:r w:rsidR="00042251" w:rsidRPr="001C55EC">
              <w:rPr>
                <w:rFonts w:eastAsia="標楷體" w:hint="eastAsia"/>
                <w:sz w:val="28"/>
                <w:szCs w:val="28"/>
              </w:rPr>
              <w:t>第</w:t>
            </w:r>
            <w:r w:rsidR="00042251">
              <w:rPr>
                <w:rFonts w:eastAsia="標楷體" w:hint="eastAsia"/>
                <w:sz w:val="28"/>
                <w:szCs w:val="28"/>
              </w:rPr>
              <w:t>21</w:t>
            </w:r>
            <w:r w:rsidR="00042251" w:rsidRPr="001C55EC">
              <w:rPr>
                <w:rFonts w:eastAsia="標楷體" w:hint="eastAsia"/>
                <w:sz w:val="28"/>
                <w:szCs w:val="28"/>
              </w:rPr>
              <w:t>條</w:t>
            </w:r>
            <w:r w:rsidR="00042251">
              <w:rPr>
                <w:rFonts w:eastAsia="標楷體" w:hint="eastAsia"/>
                <w:sz w:val="28"/>
                <w:szCs w:val="28"/>
              </w:rPr>
              <w:t>第</w:t>
            </w:r>
            <w:r w:rsidR="00042251">
              <w:rPr>
                <w:rFonts w:eastAsia="標楷體" w:hint="eastAsia"/>
                <w:sz w:val="28"/>
                <w:szCs w:val="28"/>
              </w:rPr>
              <w:t>1</w:t>
            </w:r>
            <w:r w:rsidR="00042251">
              <w:rPr>
                <w:rFonts w:eastAsia="標楷體" w:hint="eastAsia"/>
                <w:sz w:val="28"/>
                <w:szCs w:val="28"/>
              </w:rPr>
              <w:lastRenderedPageBreak/>
              <w:t>項第</w:t>
            </w:r>
            <w:r w:rsidR="00042251">
              <w:rPr>
                <w:rFonts w:eastAsia="標楷體" w:hint="eastAsia"/>
                <w:sz w:val="28"/>
                <w:szCs w:val="28"/>
              </w:rPr>
              <w:t>2</w:t>
            </w:r>
            <w:r w:rsidR="00042251">
              <w:rPr>
                <w:rFonts w:eastAsia="標楷體" w:hint="eastAsia"/>
                <w:sz w:val="28"/>
                <w:szCs w:val="28"/>
              </w:rPr>
              <w:t>款及第</w:t>
            </w:r>
            <w:r w:rsidR="00042251">
              <w:rPr>
                <w:rFonts w:eastAsia="標楷體" w:hint="eastAsia"/>
                <w:sz w:val="28"/>
                <w:szCs w:val="28"/>
              </w:rPr>
              <w:t>2</w:t>
            </w:r>
            <w:r w:rsidR="00042251">
              <w:rPr>
                <w:rFonts w:eastAsia="標楷體" w:hint="eastAsia"/>
                <w:sz w:val="28"/>
                <w:szCs w:val="28"/>
              </w:rPr>
              <w:t>項第</w:t>
            </w:r>
            <w:r w:rsidR="00042251">
              <w:rPr>
                <w:rFonts w:eastAsia="標楷體" w:hint="eastAsia"/>
                <w:sz w:val="28"/>
                <w:szCs w:val="28"/>
              </w:rPr>
              <w:t>1</w:t>
            </w:r>
            <w:r w:rsidR="00042251">
              <w:rPr>
                <w:rFonts w:eastAsia="標楷體" w:hint="eastAsia"/>
                <w:sz w:val="28"/>
                <w:szCs w:val="28"/>
              </w:rPr>
              <w:t>款、</w:t>
            </w:r>
            <w:r w:rsidR="00042251" w:rsidRPr="001C55EC">
              <w:rPr>
                <w:rFonts w:eastAsia="標楷體" w:hint="eastAsia"/>
                <w:sz w:val="28"/>
                <w:szCs w:val="28"/>
              </w:rPr>
              <w:t>第</w:t>
            </w:r>
            <w:r w:rsidR="00042251">
              <w:rPr>
                <w:rFonts w:eastAsia="標楷體" w:hint="eastAsia"/>
                <w:sz w:val="28"/>
                <w:szCs w:val="28"/>
              </w:rPr>
              <w:t>22</w:t>
            </w:r>
            <w:r w:rsidR="00042251" w:rsidRPr="001C55EC">
              <w:rPr>
                <w:rFonts w:eastAsia="標楷體" w:hint="eastAsia"/>
                <w:sz w:val="28"/>
                <w:szCs w:val="28"/>
              </w:rPr>
              <w:t>條</w:t>
            </w:r>
            <w:r w:rsidR="00042251">
              <w:rPr>
                <w:rFonts w:eastAsia="標楷體" w:hint="eastAsia"/>
                <w:sz w:val="28"/>
                <w:szCs w:val="28"/>
              </w:rPr>
              <w:t>第</w:t>
            </w:r>
            <w:r w:rsidR="00042251">
              <w:rPr>
                <w:rFonts w:eastAsia="標楷體" w:hint="eastAsia"/>
                <w:sz w:val="28"/>
                <w:szCs w:val="28"/>
              </w:rPr>
              <w:t>1</w:t>
            </w:r>
            <w:r w:rsidR="00042251">
              <w:rPr>
                <w:rFonts w:eastAsia="標楷體" w:hint="eastAsia"/>
                <w:sz w:val="28"/>
                <w:szCs w:val="28"/>
              </w:rPr>
              <w:t>項</w:t>
            </w:r>
            <w:r w:rsidRPr="002C7102">
              <w:rPr>
                <w:rFonts w:eastAsia="標楷體"/>
                <w:sz w:val="28"/>
                <w:szCs w:val="28"/>
              </w:rPr>
              <w:t>規定辦理。</w:t>
            </w:r>
          </w:p>
          <w:p w14:paraId="129936C0" w14:textId="4D1FE8C7" w:rsidR="006F13E7" w:rsidRPr="006F13E7" w:rsidRDefault="006F13E7" w:rsidP="00FA47C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27666" w:rsidRPr="002C7102" w14:paraId="451BCF87" w14:textId="77777777" w:rsidTr="007E70D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3F96D" w14:textId="7CB82F78" w:rsidR="00F27666" w:rsidRDefault="000F2561" w:rsidP="00521F4D">
            <w:pPr>
              <w:spacing w:before="180" w:after="180" w:line="440" w:lineRule="exact"/>
              <w:ind w:left="57" w:right="57"/>
              <w:jc w:val="both"/>
              <w:rPr>
                <w:rFonts w:eastAsia="標楷體"/>
                <w:sz w:val="28"/>
                <w:szCs w:val="28"/>
              </w:rPr>
            </w:pPr>
            <w:r w:rsidRPr="000F2561">
              <w:rPr>
                <w:rFonts w:eastAsia="標楷體" w:hint="eastAsia"/>
                <w:sz w:val="28"/>
                <w:szCs w:val="28"/>
              </w:rPr>
              <w:lastRenderedPageBreak/>
              <w:t>資金貸與他人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</w:tcPr>
          <w:p w14:paraId="71EE7A75" w14:textId="77777777" w:rsidR="00F27666" w:rsidRPr="00521F4D" w:rsidRDefault="002A2AA6" w:rsidP="00521F4D">
            <w:pPr>
              <w:spacing w:line="420" w:lineRule="exact"/>
              <w:jc w:val="both"/>
              <w:rPr>
                <w:rFonts w:eastAsia="標楷體"/>
              </w:rPr>
            </w:pPr>
            <w:r w:rsidRPr="00521F4D">
              <w:rPr>
                <w:rFonts w:eastAsia="標楷體" w:hint="eastAsia"/>
                <w:sz w:val="28"/>
                <w:szCs w:val="28"/>
              </w:rPr>
              <w:t>公司</w:t>
            </w:r>
            <w:r w:rsidR="007B7D3C" w:rsidRPr="00521F4D">
              <w:rPr>
                <w:rFonts w:eastAsia="標楷體" w:hint="eastAsia"/>
                <w:sz w:val="28"/>
                <w:szCs w:val="28"/>
              </w:rPr>
              <w:t>因應</w:t>
            </w:r>
            <w:r w:rsidR="005735B3" w:rsidRPr="00521F4D">
              <w:rPr>
                <w:rFonts w:eastAsia="標楷體" w:hint="eastAsia"/>
                <w:sz w:val="28"/>
                <w:szCs w:val="28"/>
              </w:rPr>
              <w:t>集團子</w:t>
            </w:r>
            <w:r w:rsidR="00D47C1F" w:rsidRPr="00521F4D">
              <w:rPr>
                <w:rFonts w:eastAsia="標楷體" w:hint="eastAsia"/>
                <w:sz w:val="28"/>
                <w:szCs w:val="28"/>
              </w:rPr>
              <w:t>公司</w:t>
            </w:r>
            <w:r w:rsidR="007B7D3C" w:rsidRPr="00521F4D">
              <w:rPr>
                <w:rFonts w:eastAsia="標楷體" w:hint="eastAsia"/>
                <w:sz w:val="28"/>
                <w:szCs w:val="28"/>
              </w:rPr>
              <w:t>之</w:t>
            </w:r>
            <w:r w:rsidR="001E3880" w:rsidRPr="00521F4D">
              <w:rPr>
                <w:rFonts w:eastAsia="標楷體" w:hint="eastAsia"/>
                <w:sz w:val="28"/>
                <w:szCs w:val="28"/>
              </w:rPr>
              <w:t>短期融通</w:t>
            </w:r>
            <w:r w:rsidR="00D47C1F" w:rsidRPr="00521F4D">
              <w:rPr>
                <w:rFonts w:eastAsia="標楷體" w:hint="eastAsia"/>
                <w:sz w:val="28"/>
                <w:szCs w:val="28"/>
              </w:rPr>
              <w:t>資</w:t>
            </w:r>
            <w:r w:rsidR="001E3880" w:rsidRPr="00521F4D">
              <w:rPr>
                <w:rFonts w:eastAsia="標楷體" w:hint="eastAsia"/>
                <w:sz w:val="28"/>
                <w:szCs w:val="28"/>
              </w:rPr>
              <w:t>金</w:t>
            </w:r>
            <w:r w:rsidR="00D47C1F" w:rsidRPr="00521F4D">
              <w:rPr>
                <w:rFonts w:eastAsia="標楷體" w:hint="eastAsia"/>
                <w:sz w:val="28"/>
                <w:szCs w:val="28"/>
              </w:rPr>
              <w:t>需求而將款項</w:t>
            </w:r>
            <w:r w:rsidR="001E3880" w:rsidRPr="00521F4D">
              <w:rPr>
                <w:rFonts w:eastAsia="標楷體" w:hint="eastAsia"/>
                <w:sz w:val="28"/>
                <w:szCs w:val="28"/>
              </w:rPr>
              <w:t>貸</w:t>
            </w:r>
            <w:r w:rsidR="00D47C1F" w:rsidRPr="00521F4D">
              <w:rPr>
                <w:rFonts w:eastAsia="標楷體" w:hint="eastAsia"/>
                <w:sz w:val="28"/>
                <w:szCs w:val="28"/>
              </w:rPr>
              <w:t>與</w:t>
            </w:r>
            <w:r w:rsidR="005735B3" w:rsidRPr="00521F4D">
              <w:rPr>
                <w:rFonts w:eastAsia="標楷體" w:hint="eastAsia"/>
                <w:sz w:val="28"/>
                <w:szCs w:val="28"/>
              </w:rPr>
              <w:t>子公司</w:t>
            </w:r>
            <w:r w:rsidR="00D47C1F" w:rsidRPr="00521F4D">
              <w:rPr>
                <w:rFonts w:eastAsia="標楷體" w:hint="eastAsia"/>
                <w:sz w:val="28"/>
                <w:szCs w:val="28"/>
              </w:rPr>
              <w:t>逾一年未取得返還之資金，</w:t>
            </w:r>
            <w:r w:rsidR="009A140E" w:rsidRPr="00521F4D">
              <w:rPr>
                <w:rFonts w:eastAsia="標楷體" w:hint="eastAsia"/>
                <w:sz w:val="28"/>
                <w:szCs w:val="28"/>
              </w:rPr>
              <w:t>而</w:t>
            </w:r>
            <w:r w:rsidR="00D47C1F" w:rsidRPr="00521F4D">
              <w:rPr>
                <w:rFonts w:eastAsia="標楷體" w:hint="eastAsia"/>
                <w:sz w:val="28"/>
                <w:szCs w:val="28"/>
              </w:rPr>
              <w:t>以</w:t>
            </w:r>
            <w:r w:rsidR="001E3880" w:rsidRPr="00521F4D">
              <w:rPr>
                <w:rFonts w:eastAsia="標楷體" w:hint="eastAsia"/>
                <w:sz w:val="28"/>
                <w:szCs w:val="28"/>
              </w:rPr>
              <w:t>展期</w:t>
            </w:r>
            <w:r w:rsidR="00D47C1F" w:rsidRPr="00521F4D">
              <w:rPr>
                <w:rFonts w:eastAsia="標楷體" w:hint="eastAsia"/>
                <w:sz w:val="28"/>
                <w:szCs w:val="28"/>
              </w:rPr>
              <w:t>、</w:t>
            </w:r>
            <w:r w:rsidR="00521F4D" w:rsidRPr="00521F4D">
              <w:rPr>
                <w:rFonts w:eastAsia="標楷體" w:hint="eastAsia"/>
                <w:sz w:val="28"/>
                <w:szCs w:val="28"/>
              </w:rPr>
              <w:t>延長、</w:t>
            </w:r>
            <w:r w:rsidR="001E3880" w:rsidRPr="00521F4D">
              <w:rPr>
                <w:rFonts w:eastAsia="標楷體" w:hint="eastAsia"/>
                <w:sz w:val="28"/>
                <w:szCs w:val="28"/>
              </w:rPr>
              <w:t>續借</w:t>
            </w:r>
            <w:r w:rsidR="00D47C1F" w:rsidRPr="00521F4D">
              <w:rPr>
                <w:rFonts w:eastAsia="標楷體" w:hint="eastAsia"/>
                <w:sz w:val="28"/>
                <w:szCs w:val="28"/>
              </w:rPr>
              <w:t>等方式辦理，</w:t>
            </w:r>
            <w:r w:rsidR="001E3880" w:rsidRPr="00521F4D">
              <w:rPr>
                <w:rFonts w:eastAsia="標楷體" w:hint="eastAsia"/>
                <w:sz w:val="28"/>
                <w:szCs w:val="28"/>
              </w:rPr>
              <w:t>致</w:t>
            </w:r>
            <w:r w:rsidR="00D47C1F" w:rsidRPr="00521F4D">
              <w:rPr>
                <w:rFonts w:eastAsia="標楷體" w:hint="eastAsia"/>
                <w:sz w:val="28"/>
                <w:szCs w:val="28"/>
              </w:rPr>
              <w:t>實際資金</w:t>
            </w:r>
            <w:r w:rsidR="001E3880" w:rsidRPr="00521F4D">
              <w:rPr>
                <w:rFonts w:eastAsia="標楷體" w:hint="eastAsia"/>
                <w:sz w:val="28"/>
                <w:szCs w:val="28"/>
              </w:rPr>
              <w:t>貸與期間超過一年</w:t>
            </w:r>
            <w:r w:rsidR="007B7D3C" w:rsidRPr="00521F4D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78A49D17" w14:textId="2D92C078" w:rsidR="00521F4D" w:rsidRPr="00521F4D" w:rsidRDefault="00521F4D" w:rsidP="00521F4D">
            <w:pPr>
              <w:pStyle w:val="a7"/>
              <w:spacing w:line="420" w:lineRule="exact"/>
              <w:ind w:leftChars="0" w:left="360"/>
              <w:jc w:val="both"/>
              <w:rPr>
                <w:rFonts w:eastAsia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6FF5631" w14:textId="77777777" w:rsidR="00F27666" w:rsidRDefault="005735B3" w:rsidP="00FA47C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C7102">
              <w:rPr>
                <w:rFonts w:eastAsia="標楷體"/>
                <w:sz w:val="28"/>
                <w:szCs w:val="28"/>
              </w:rPr>
              <w:t>應</w:t>
            </w:r>
            <w:r w:rsidRPr="00613C86">
              <w:rPr>
                <w:rFonts w:eastAsia="標楷體"/>
                <w:sz w:val="28"/>
                <w:szCs w:val="28"/>
              </w:rPr>
              <w:t>依「公開發行公司資金貸與及背書保證處理準則」第</w:t>
            </w:r>
            <w:r w:rsidR="00521F4D" w:rsidRPr="00613C86">
              <w:rPr>
                <w:rFonts w:eastAsia="標楷體"/>
                <w:sz w:val="28"/>
                <w:szCs w:val="28"/>
              </w:rPr>
              <w:t>3</w:t>
            </w:r>
            <w:r w:rsidRPr="00613C86">
              <w:rPr>
                <w:rFonts w:eastAsia="標楷體"/>
                <w:sz w:val="28"/>
                <w:szCs w:val="28"/>
              </w:rPr>
              <w:t>條第</w:t>
            </w:r>
            <w:r w:rsidR="00521F4D" w:rsidRPr="00613C86">
              <w:rPr>
                <w:rFonts w:eastAsia="標楷體"/>
                <w:sz w:val="28"/>
                <w:szCs w:val="28"/>
              </w:rPr>
              <w:t>1</w:t>
            </w:r>
            <w:r w:rsidR="00521F4D" w:rsidRPr="00613C86">
              <w:rPr>
                <w:rFonts w:eastAsia="標楷體"/>
                <w:sz w:val="28"/>
                <w:szCs w:val="28"/>
              </w:rPr>
              <w:t>、</w:t>
            </w:r>
            <w:r w:rsidR="00521F4D" w:rsidRPr="00613C86">
              <w:rPr>
                <w:rFonts w:eastAsia="標楷體"/>
                <w:sz w:val="28"/>
                <w:szCs w:val="28"/>
              </w:rPr>
              <w:t>2</w:t>
            </w:r>
            <w:r w:rsidRPr="00613C86">
              <w:rPr>
                <w:rFonts w:eastAsia="標楷體"/>
                <w:sz w:val="28"/>
                <w:szCs w:val="28"/>
              </w:rPr>
              <w:t>項</w:t>
            </w:r>
            <w:r w:rsidR="00613C86" w:rsidRPr="00613C86">
              <w:rPr>
                <w:rFonts w:eastAsia="標楷體"/>
                <w:sz w:val="28"/>
                <w:szCs w:val="28"/>
              </w:rPr>
              <w:t>及「公開發行公司資金貸與及背書保證處理準則問答集」第</w:t>
            </w:r>
            <w:r w:rsidR="00613C86" w:rsidRPr="00613C86">
              <w:rPr>
                <w:rFonts w:eastAsia="標楷體"/>
                <w:sz w:val="28"/>
                <w:szCs w:val="28"/>
              </w:rPr>
              <w:t>39</w:t>
            </w:r>
            <w:r w:rsidR="00613C86" w:rsidRPr="00613C86">
              <w:rPr>
                <w:rFonts w:eastAsia="標楷體"/>
                <w:sz w:val="28"/>
                <w:szCs w:val="28"/>
              </w:rPr>
              <w:t>題</w:t>
            </w:r>
            <w:r w:rsidRPr="00613C86">
              <w:rPr>
                <w:rFonts w:eastAsia="標楷體"/>
                <w:sz w:val="28"/>
                <w:szCs w:val="28"/>
              </w:rPr>
              <w:t>規定辦理。</w:t>
            </w:r>
          </w:p>
          <w:p w14:paraId="5E2B7B08" w14:textId="7EE08947" w:rsidR="00613C86" w:rsidRPr="002C7102" w:rsidRDefault="00613C86" w:rsidP="00FA47C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27666" w:rsidRPr="002C7102" w14:paraId="611742D0" w14:textId="77777777" w:rsidTr="007E70D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0880C" w14:textId="581F17EB" w:rsidR="00F27666" w:rsidRDefault="00224E06" w:rsidP="00831A8A">
            <w:pPr>
              <w:spacing w:before="180" w:after="180" w:line="440" w:lineRule="exact"/>
              <w:ind w:left="57" w:right="57"/>
              <w:jc w:val="both"/>
              <w:rPr>
                <w:rFonts w:eastAsia="標楷體"/>
                <w:sz w:val="28"/>
                <w:szCs w:val="28"/>
              </w:rPr>
            </w:pPr>
            <w:r w:rsidRPr="00224E06">
              <w:rPr>
                <w:rFonts w:eastAsia="標楷體" w:hint="eastAsia"/>
                <w:sz w:val="28"/>
                <w:szCs w:val="28"/>
              </w:rPr>
              <w:t>為他人背書保證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</w:tcPr>
          <w:p w14:paraId="255679F2" w14:textId="12C8F765" w:rsidR="00D96C29" w:rsidRPr="006F48EB" w:rsidRDefault="006F48EB" w:rsidP="006F48EB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6F48EB">
              <w:rPr>
                <w:rFonts w:eastAsia="標楷體"/>
                <w:sz w:val="28"/>
                <w:szCs w:val="28"/>
              </w:rPr>
              <w:t>公司</w:t>
            </w:r>
            <w:r w:rsidRPr="006F48EB">
              <w:rPr>
                <w:rFonts w:eastAsia="標楷體" w:hint="eastAsia"/>
                <w:sz w:val="28"/>
                <w:szCs w:val="28"/>
              </w:rPr>
              <w:t>未於</w:t>
            </w:r>
            <w:r w:rsidRPr="006F48EB">
              <w:rPr>
                <w:rFonts w:eastAsia="標楷體"/>
                <w:sz w:val="28"/>
                <w:szCs w:val="28"/>
              </w:rPr>
              <w:t>背書保證備查</w:t>
            </w:r>
            <w:proofErr w:type="gramStart"/>
            <w:r w:rsidRPr="006F48EB">
              <w:rPr>
                <w:rFonts w:eastAsia="標楷體"/>
                <w:sz w:val="28"/>
                <w:szCs w:val="28"/>
              </w:rPr>
              <w:t>簿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確實</w:t>
            </w:r>
            <w:r w:rsidRPr="006F48EB">
              <w:rPr>
                <w:rFonts w:eastAsia="標楷體" w:hint="eastAsia"/>
                <w:sz w:val="28"/>
                <w:szCs w:val="28"/>
              </w:rPr>
              <w:t>記載</w:t>
            </w:r>
            <w:r w:rsidR="00D96C29" w:rsidRPr="006F48EB">
              <w:rPr>
                <w:rFonts w:eastAsia="標楷體"/>
                <w:sz w:val="28"/>
                <w:szCs w:val="28"/>
              </w:rPr>
              <w:t>背書保證日期</w:t>
            </w:r>
            <w:r w:rsidRPr="006F48EB">
              <w:rPr>
                <w:rFonts w:eastAsia="標楷體" w:hint="eastAsia"/>
                <w:sz w:val="28"/>
                <w:szCs w:val="28"/>
              </w:rPr>
              <w:t>及</w:t>
            </w:r>
            <w:r w:rsidR="00D96C29" w:rsidRPr="006F48EB">
              <w:rPr>
                <w:rFonts w:eastAsia="標楷體"/>
                <w:sz w:val="28"/>
                <w:szCs w:val="28"/>
              </w:rPr>
              <w:t>評估事項。</w:t>
            </w:r>
          </w:p>
          <w:p w14:paraId="7A300833" w14:textId="7AF77E85" w:rsidR="000B7263" w:rsidRPr="006F48EB" w:rsidRDefault="000B7263" w:rsidP="006F48EB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6AAF199" w14:textId="77777777" w:rsidR="00F27666" w:rsidRDefault="006C7814" w:rsidP="00FA47C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C7102">
              <w:rPr>
                <w:rFonts w:eastAsia="標楷體"/>
                <w:sz w:val="28"/>
                <w:szCs w:val="28"/>
              </w:rPr>
              <w:t>應</w:t>
            </w:r>
            <w:r w:rsidRPr="00613C86">
              <w:rPr>
                <w:rFonts w:eastAsia="標楷體"/>
                <w:sz w:val="28"/>
                <w:szCs w:val="28"/>
              </w:rPr>
              <w:t>依「公開發行公司資金貸與及背書保證處理準則」</w:t>
            </w:r>
            <w:r w:rsidR="00CD3410" w:rsidRPr="00613C86">
              <w:rPr>
                <w:rFonts w:eastAsia="標楷體"/>
                <w:sz w:val="28"/>
                <w:szCs w:val="28"/>
              </w:rPr>
              <w:t>第</w:t>
            </w:r>
            <w:r w:rsidR="00CD3410">
              <w:rPr>
                <w:rFonts w:eastAsia="標楷體" w:hint="eastAsia"/>
                <w:sz w:val="28"/>
                <w:szCs w:val="28"/>
              </w:rPr>
              <w:t>12</w:t>
            </w:r>
            <w:r w:rsidR="00CD3410" w:rsidRPr="00613C86">
              <w:rPr>
                <w:rFonts w:eastAsia="標楷體"/>
                <w:sz w:val="28"/>
                <w:szCs w:val="28"/>
              </w:rPr>
              <w:t>條第</w:t>
            </w:r>
            <w:r w:rsidR="00CD3410" w:rsidRPr="00613C86">
              <w:rPr>
                <w:rFonts w:eastAsia="標楷體"/>
                <w:sz w:val="28"/>
                <w:szCs w:val="28"/>
              </w:rPr>
              <w:t>1</w:t>
            </w:r>
            <w:r w:rsidR="00CD3410" w:rsidRPr="00613C86">
              <w:rPr>
                <w:rFonts w:eastAsia="標楷體"/>
                <w:sz w:val="28"/>
                <w:szCs w:val="28"/>
              </w:rPr>
              <w:t>項</w:t>
            </w:r>
            <w:r w:rsidR="00CD3410">
              <w:rPr>
                <w:rFonts w:eastAsia="標楷體" w:hint="eastAsia"/>
                <w:sz w:val="28"/>
                <w:szCs w:val="28"/>
              </w:rPr>
              <w:t>第</w:t>
            </w:r>
            <w:r w:rsidR="00CD3410">
              <w:rPr>
                <w:rFonts w:eastAsia="標楷體" w:hint="eastAsia"/>
                <w:sz w:val="28"/>
                <w:szCs w:val="28"/>
              </w:rPr>
              <w:t>5</w:t>
            </w:r>
            <w:r w:rsidR="00CD3410">
              <w:rPr>
                <w:rFonts w:eastAsia="標楷體" w:hint="eastAsia"/>
                <w:sz w:val="28"/>
                <w:szCs w:val="28"/>
              </w:rPr>
              <w:t>款、</w:t>
            </w:r>
            <w:r w:rsidR="00CD3410" w:rsidRPr="00613C86">
              <w:rPr>
                <w:rFonts w:eastAsia="標楷體"/>
                <w:sz w:val="28"/>
                <w:szCs w:val="28"/>
              </w:rPr>
              <w:t>第</w:t>
            </w:r>
            <w:r w:rsidR="00CD3410">
              <w:rPr>
                <w:rFonts w:eastAsia="標楷體" w:hint="eastAsia"/>
                <w:sz w:val="28"/>
                <w:szCs w:val="28"/>
              </w:rPr>
              <w:t>17</w:t>
            </w:r>
            <w:r w:rsidR="00CD3410" w:rsidRPr="00613C86">
              <w:rPr>
                <w:rFonts w:eastAsia="標楷體"/>
                <w:sz w:val="28"/>
                <w:szCs w:val="28"/>
              </w:rPr>
              <w:t>條第</w:t>
            </w:r>
            <w:r w:rsidR="00CD3410" w:rsidRPr="00613C86">
              <w:rPr>
                <w:rFonts w:eastAsia="標楷體"/>
                <w:sz w:val="28"/>
                <w:szCs w:val="28"/>
              </w:rPr>
              <w:t>1</w:t>
            </w:r>
            <w:r w:rsidR="00CD3410" w:rsidRPr="00613C86">
              <w:rPr>
                <w:rFonts w:eastAsia="標楷體"/>
                <w:sz w:val="28"/>
                <w:szCs w:val="28"/>
              </w:rPr>
              <w:t>項</w:t>
            </w:r>
            <w:r w:rsidR="00CD3410">
              <w:rPr>
                <w:rFonts w:eastAsia="標楷體" w:hint="eastAsia"/>
                <w:sz w:val="28"/>
                <w:szCs w:val="28"/>
              </w:rPr>
              <w:t>、</w:t>
            </w:r>
            <w:r w:rsidRPr="00613C86">
              <w:rPr>
                <w:rFonts w:eastAsia="標楷體"/>
                <w:sz w:val="28"/>
                <w:szCs w:val="28"/>
              </w:rPr>
              <w:t>第</w:t>
            </w:r>
            <w:r w:rsidR="00CD3410">
              <w:rPr>
                <w:rFonts w:eastAsia="標楷體" w:hint="eastAsia"/>
                <w:sz w:val="28"/>
                <w:szCs w:val="28"/>
              </w:rPr>
              <w:t>18</w:t>
            </w:r>
            <w:r w:rsidRPr="00613C86">
              <w:rPr>
                <w:rFonts w:eastAsia="標楷體"/>
                <w:sz w:val="28"/>
                <w:szCs w:val="28"/>
              </w:rPr>
              <w:t>條第</w:t>
            </w:r>
            <w:r w:rsidRPr="00613C86">
              <w:rPr>
                <w:rFonts w:eastAsia="標楷體"/>
                <w:sz w:val="28"/>
                <w:szCs w:val="28"/>
              </w:rPr>
              <w:t>1</w:t>
            </w:r>
            <w:r w:rsidRPr="00613C86">
              <w:rPr>
                <w:rFonts w:eastAsia="標楷體"/>
                <w:sz w:val="28"/>
                <w:szCs w:val="28"/>
              </w:rPr>
              <w:t>項規定辦理。</w:t>
            </w:r>
          </w:p>
          <w:p w14:paraId="1FB7968C" w14:textId="3B42A46E" w:rsidR="00F17045" w:rsidRPr="002C7102" w:rsidRDefault="00F17045" w:rsidP="00FA47C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42C8D" w:rsidRPr="002C7102" w14:paraId="04AB610E" w14:textId="77777777" w:rsidTr="007E70D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16C24" w14:textId="1E97A01E" w:rsidR="00F42C8D" w:rsidRPr="0032380C" w:rsidRDefault="0032380C" w:rsidP="0032380C">
            <w:pPr>
              <w:spacing w:before="180" w:after="180" w:line="440" w:lineRule="exact"/>
              <w:ind w:left="57" w:right="57"/>
              <w:jc w:val="both"/>
              <w:rPr>
                <w:rFonts w:eastAsia="標楷體"/>
                <w:sz w:val="28"/>
                <w:szCs w:val="28"/>
              </w:rPr>
            </w:pPr>
            <w:r w:rsidRPr="0032380C">
              <w:rPr>
                <w:rFonts w:eastAsia="標楷體" w:hint="eastAsia"/>
                <w:sz w:val="28"/>
                <w:szCs w:val="28"/>
              </w:rPr>
              <w:t>董事會運作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</w:tcPr>
          <w:p w14:paraId="1189111C" w14:textId="7924302E" w:rsidR="00570A54" w:rsidRDefault="00570A54" w:rsidP="00570A54">
            <w:pPr>
              <w:pStyle w:val="a7"/>
              <w:numPr>
                <w:ilvl w:val="0"/>
                <w:numId w:val="14"/>
              </w:numPr>
              <w:spacing w:line="4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CF7ACE">
              <w:rPr>
                <w:rFonts w:eastAsia="標楷體" w:hint="eastAsia"/>
                <w:sz w:val="28"/>
                <w:szCs w:val="28"/>
              </w:rPr>
              <w:t>董事對於會議事項，與其自身或其代表之法人有利害關係者，未迴避而參與討論及表決</w:t>
            </w:r>
          </w:p>
          <w:p w14:paraId="7C594301" w14:textId="77777777" w:rsidR="00C30D55" w:rsidRPr="00CF7ACE" w:rsidRDefault="00C30D55" w:rsidP="00C30D55">
            <w:pPr>
              <w:pStyle w:val="a7"/>
              <w:spacing w:line="420" w:lineRule="exact"/>
              <w:ind w:leftChars="0" w:left="360"/>
              <w:jc w:val="both"/>
              <w:rPr>
                <w:rFonts w:eastAsia="標楷體"/>
                <w:sz w:val="28"/>
                <w:szCs w:val="28"/>
              </w:rPr>
            </w:pPr>
          </w:p>
          <w:p w14:paraId="6551E347" w14:textId="388CF370" w:rsidR="00570A54" w:rsidRDefault="00570A54" w:rsidP="00570A54">
            <w:pPr>
              <w:pStyle w:val="a7"/>
              <w:numPr>
                <w:ilvl w:val="0"/>
                <w:numId w:val="14"/>
              </w:numPr>
              <w:spacing w:line="42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CF7ACE">
              <w:rPr>
                <w:rFonts w:eastAsia="標楷體" w:hint="eastAsia"/>
                <w:sz w:val="28"/>
                <w:szCs w:val="28"/>
              </w:rPr>
              <w:t>董事委託其他董事代理出席董事會，所出具之委託書</w:t>
            </w:r>
            <w:proofErr w:type="gramStart"/>
            <w:r w:rsidRPr="00CF7ACE">
              <w:rPr>
                <w:rFonts w:eastAsia="標楷體" w:hint="eastAsia"/>
                <w:sz w:val="28"/>
                <w:szCs w:val="28"/>
              </w:rPr>
              <w:t>未逐</w:t>
            </w:r>
            <w:proofErr w:type="gramEnd"/>
            <w:r w:rsidRPr="00CF7ACE">
              <w:rPr>
                <w:rFonts w:eastAsia="標楷體" w:hint="eastAsia"/>
                <w:sz w:val="28"/>
                <w:szCs w:val="28"/>
              </w:rPr>
              <w:t>項列舉召集事由之授權範圍</w:t>
            </w:r>
            <w:r w:rsidR="00004FD0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3D6E6CC2" w14:textId="2D676CC8" w:rsidR="00F42C8D" w:rsidRPr="00DE1319" w:rsidRDefault="00F42C8D" w:rsidP="00004FD0">
            <w:pPr>
              <w:ind w:left="3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DE9395D" w14:textId="77777777" w:rsidR="00F42C8D" w:rsidRDefault="002A580B" w:rsidP="002A580B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C7102">
              <w:rPr>
                <w:rFonts w:eastAsia="標楷體"/>
                <w:sz w:val="28"/>
                <w:szCs w:val="28"/>
              </w:rPr>
              <w:t>應</w:t>
            </w:r>
            <w:r w:rsidRPr="00613C86">
              <w:rPr>
                <w:rFonts w:eastAsia="標楷體"/>
                <w:sz w:val="28"/>
                <w:szCs w:val="28"/>
              </w:rPr>
              <w:t>依「公開發行公司</w:t>
            </w:r>
            <w:r w:rsidR="00C30D55" w:rsidRPr="00DF107D">
              <w:rPr>
                <w:rFonts w:eastAsia="標楷體"/>
                <w:sz w:val="28"/>
                <w:szCs w:val="28"/>
              </w:rPr>
              <w:t>董事會議事辦法</w:t>
            </w:r>
            <w:r w:rsidRPr="00613C86">
              <w:rPr>
                <w:rFonts w:eastAsia="標楷體"/>
                <w:sz w:val="28"/>
                <w:szCs w:val="28"/>
              </w:rPr>
              <w:t>」第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C30D55">
              <w:rPr>
                <w:rFonts w:eastAsia="標楷體" w:hint="eastAsia"/>
                <w:sz w:val="28"/>
                <w:szCs w:val="28"/>
              </w:rPr>
              <w:t>6</w:t>
            </w:r>
            <w:r w:rsidRPr="00613C86">
              <w:rPr>
                <w:rFonts w:eastAsia="標楷體"/>
                <w:sz w:val="28"/>
                <w:szCs w:val="28"/>
              </w:rPr>
              <w:t>條第</w:t>
            </w:r>
            <w:r w:rsidRPr="00613C86">
              <w:rPr>
                <w:rFonts w:eastAsia="標楷體"/>
                <w:sz w:val="28"/>
                <w:szCs w:val="28"/>
              </w:rPr>
              <w:t>1</w:t>
            </w:r>
            <w:r w:rsidRPr="00613C86">
              <w:rPr>
                <w:rFonts w:eastAsia="標楷體"/>
                <w:sz w:val="28"/>
                <w:szCs w:val="28"/>
              </w:rPr>
              <w:t>項規定辦理。</w:t>
            </w:r>
          </w:p>
          <w:p w14:paraId="09FDB5F5" w14:textId="77777777" w:rsidR="00004FD0" w:rsidRDefault="00004FD0" w:rsidP="002A580B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4BFCB3DD" w14:textId="22CF97AF" w:rsidR="00004FD0" w:rsidRDefault="00004FD0" w:rsidP="00004FD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2C7102">
              <w:rPr>
                <w:rFonts w:eastAsia="標楷體"/>
                <w:sz w:val="28"/>
                <w:szCs w:val="28"/>
              </w:rPr>
              <w:t>應</w:t>
            </w:r>
            <w:r w:rsidRPr="00613C86">
              <w:rPr>
                <w:rFonts w:eastAsia="標楷體"/>
                <w:sz w:val="28"/>
                <w:szCs w:val="28"/>
              </w:rPr>
              <w:t>依「公開發行公司</w:t>
            </w:r>
            <w:r w:rsidRPr="00DF107D">
              <w:rPr>
                <w:rFonts w:eastAsia="標楷體"/>
                <w:sz w:val="28"/>
                <w:szCs w:val="28"/>
              </w:rPr>
              <w:t>董事會議事辦法</w:t>
            </w:r>
            <w:r w:rsidRPr="00613C86">
              <w:rPr>
                <w:rFonts w:eastAsia="標楷體"/>
                <w:sz w:val="28"/>
                <w:szCs w:val="28"/>
              </w:rPr>
              <w:t>」第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613C86">
              <w:rPr>
                <w:rFonts w:eastAsia="標楷體"/>
                <w:sz w:val="28"/>
                <w:szCs w:val="28"/>
              </w:rPr>
              <w:t>條第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613C86">
              <w:rPr>
                <w:rFonts w:eastAsia="標楷體"/>
                <w:sz w:val="28"/>
                <w:szCs w:val="28"/>
              </w:rPr>
              <w:t>項規定辦理。</w:t>
            </w:r>
          </w:p>
          <w:p w14:paraId="504F137C" w14:textId="474A5723" w:rsidR="00004FD0" w:rsidRPr="00004FD0" w:rsidRDefault="00004FD0" w:rsidP="002A580B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42C8D" w:rsidRPr="002C7102" w14:paraId="1ED45CFF" w14:textId="77777777" w:rsidTr="007E70DA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70A68" w14:textId="77BCAF9E" w:rsidR="00F42C8D" w:rsidRPr="002C7102" w:rsidRDefault="00FD3553" w:rsidP="004C561A">
            <w:pPr>
              <w:spacing w:before="180" w:after="180" w:line="440" w:lineRule="exact"/>
              <w:ind w:left="57" w:right="57"/>
              <w:jc w:val="both"/>
              <w:rPr>
                <w:rFonts w:eastAsia="標楷體"/>
                <w:sz w:val="28"/>
                <w:szCs w:val="28"/>
              </w:rPr>
            </w:pPr>
            <w:r w:rsidRPr="004C561A">
              <w:rPr>
                <w:rFonts w:eastAsia="標楷體"/>
                <w:sz w:val="28"/>
                <w:szCs w:val="28"/>
              </w:rPr>
              <w:t>防範內線交易之管理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</w:tcPr>
          <w:p w14:paraId="46970F5F" w14:textId="23582170" w:rsidR="00F42C8D" w:rsidRPr="00FD3553" w:rsidRDefault="00FD3553" w:rsidP="001E5AA2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5AA2">
              <w:rPr>
                <w:rFonts w:eastAsia="標楷體"/>
                <w:sz w:val="28"/>
                <w:szCs w:val="28"/>
              </w:rPr>
              <w:t>公司</w:t>
            </w:r>
            <w:r w:rsidR="002A5B22" w:rsidRPr="001E5AA2">
              <w:rPr>
                <w:rFonts w:eastAsia="標楷體" w:hint="eastAsia"/>
                <w:sz w:val="28"/>
                <w:szCs w:val="28"/>
              </w:rPr>
              <w:t>之內控制度</w:t>
            </w:r>
            <w:r w:rsidRPr="001E5AA2">
              <w:rPr>
                <w:rFonts w:eastAsia="標楷體"/>
                <w:sz w:val="28"/>
                <w:szCs w:val="28"/>
              </w:rPr>
              <w:t>未</w:t>
            </w:r>
            <w:r w:rsidR="002A5B22" w:rsidRPr="001E5AA2">
              <w:rPr>
                <w:rFonts w:eastAsia="標楷體" w:hint="eastAsia"/>
                <w:sz w:val="28"/>
                <w:szCs w:val="28"/>
              </w:rPr>
              <w:t>規範</w:t>
            </w:r>
            <w:r w:rsidRPr="001E5AA2">
              <w:rPr>
                <w:rFonts w:eastAsia="標楷體"/>
                <w:sz w:val="28"/>
                <w:szCs w:val="28"/>
              </w:rPr>
              <w:t>內部人</w:t>
            </w:r>
            <w:r w:rsidR="00A673E5" w:rsidRPr="001E5AA2">
              <w:rPr>
                <w:rFonts w:eastAsia="標楷體" w:hint="eastAsia"/>
                <w:sz w:val="28"/>
                <w:szCs w:val="28"/>
              </w:rPr>
              <w:t>新任或解任</w:t>
            </w:r>
            <w:r w:rsidRPr="001E5AA2">
              <w:rPr>
                <w:rFonts w:eastAsia="標楷體"/>
                <w:sz w:val="28"/>
                <w:szCs w:val="28"/>
              </w:rPr>
              <w:t>時，應於事實發生後</w:t>
            </w:r>
            <w:r w:rsidR="002A5B22" w:rsidRPr="001E5AA2">
              <w:rPr>
                <w:rFonts w:eastAsia="標楷體" w:hint="eastAsia"/>
                <w:sz w:val="28"/>
                <w:szCs w:val="28"/>
              </w:rPr>
              <w:t>2</w:t>
            </w:r>
            <w:r w:rsidRPr="001E5AA2">
              <w:rPr>
                <w:rFonts w:eastAsia="標楷體"/>
                <w:sz w:val="28"/>
                <w:szCs w:val="28"/>
              </w:rPr>
              <w:t>日內</w:t>
            </w:r>
            <w:r w:rsidR="001E5AA2" w:rsidRPr="001E5AA2">
              <w:rPr>
                <w:rFonts w:eastAsia="標楷體" w:hint="eastAsia"/>
                <w:sz w:val="28"/>
                <w:szCs w:val="28"/>
              </w:rPr>
              <w:t>辦理內部人新</w:t>
            </w:r>
            <w:r w:rsidR="001E5AA2" w:rsidRPr="001E5AA2">
              <w:rPr>
                <w:rFonts w:eastAsia="標楷體" w:hint="eastAsia"/>
                <w:sz w:val="28"/>
                <w:szCs w:val="28"/>
              </w:rPr>
              <w:t>(</w:t>
            </w:r>
            <w:r w:rsidR="001E5AA2" w:rsidRPr="001E5AA2">
              <w:rPr>
                <w:rFonts w:eastAsia="標楷體" w:hint="eastAsia"/>
                <w:sz w:val="28"/>
                <w:szCs w:val="28"/>
              </w:rPr>
              <w:t>解</w:t>
            </w:r>
            <w:r w:rsidR="001E5AA2" w:rsidRPr="001E5AA2">
              <w:rPr>
                <w:rFonts w:eastAsia="標楷體" w:hint="eastAsia"/>
                <w:sz w:val="28"/>
                <w:szCs w:val="28"/>
              </w:rPr>
              <w:t>)</w:t>
            </w:r>
            <w:r w:rsidR="001E5AA2" w:rsidRPr="001E5AA2">
              <w:rPr>
                <w:rFonts w:eastAsia="標楷體" w:hint="eastAsia"/>
                <w:sz w:val="28"/>
                <w:szCs w:val="28"/>
              </w:rPr>
              <w:t>任即時申報系統資訊</w:t>
            </w:r>
            <w:r w:rsidRPr="001E5AA2">
              <w:rPr>
                <w:rFonts w:eastAsia="標楷體"/>
                <w:sz w:val="28"/>
                <w:szCs w:val="28"/>
              </w:rPr>
              <w:t>申報，暨董事、監察人及經理人就任起</w:t>
            </w:r>
            <w:r w:rsidRPr="001E5AA2">
              <w:rPr>
                <w:rFonts w:eastAsia="標楷體"/>
                <w:sz w:val="28"/>
                <w:szCs w:val="28"/>
              </w:rPr>
              <w:t>5</w:t>
            </w:r>
            <w:r w:rsidRPr="001E5AA2">
              <w:rPr>
                <w:rFonts w:eastAsia="標楷體"/>
                <w:sz w:val="28"/>
                <w:szCs w:val="28"/>
              </w:rPr>
              <w:t>日內簽署</w:t>
            </w:r>
            <w:r w:rsidR="00A673E5" w:rsidRPr="001E5AA2">
              <w:rPr>
                <w:rFonts w:eastAsia="標楷體" w:hint="eastAsia"/>
                <w:sz w:val="28"/>
                <w:szCs w:val="28"/>
              </w:rPr>
              <w:t>確知</w:t>
            </w:r>
            <w:r w:rsidRPr="001E5AA2">
              <w:rPr>
                <w:rFonts w:eastAsia="標楷體"/>
                <w:sz w:val="28"/>
                <w:szCs w:val="28"/>
              </w:rPr>
              <w:t>內部人相關法令聲明書，並</w:t>
            </w:r>
            <w:r w:rsidR="00A673E5" w:rsidRPr="001E5AA2">
              <w:rPr>
                <w:rFonts w:eastAsia="標楷體" w:hint="eastAsia"/>
                <w:sz w:val="28"/>
                <w:szCs w:val="28"/>
              </w:rPr>
              <w:t>留存公司備查，</w:t>
            </w:r>
            <w:r w:rsidR="001E5AA2" w:rsidRPr="001E5AA2">
              <w:rPr>
                <w:rFonts w:eastAsia="標楷體"/>
                <w:sz w:val="28"/>
                <w:szCs w:val="28"/>
              </w:rPr>
              <w:t>董事</w:t>
            </w:r>
            <w:r w:rsidR="001E5AA2" w:rsidRPr="001E5AA2">
              <w:rPr>
                <w:rFonts w:eastAsia="標楷體" w:hint="eastAsia"/>
                <w:sz w:val="28"/>
                <w:szCs w:val="28"/>
              </w:rPr>
              <w:t>及</w:t>
            </w:r>
            <w:r w:rsidR="001E5AA2" w:rsidRPr="001E5AA2">
              <w:rPr>
                <w:rFonts w:eastAsia="標楷體"/>
                <w:sz w:val="28"/>
                <w:szCs w:val="28"/>
              </w:rPr>
              <w:t>監察人聲明書</w:t>
            </w:r>
            <w:r w:rsidR="001E5AA2" w:rsidRPr="001E5AA2">
              <w:rPr>
                <w:rFonts w:eastAsia="標楷體" w:hint="eastAsia"/>
                <w:sz w:val="28"/>
                <w:szCs w:val="28"/>
              </w:rPr>
              <w:t>影本於就任之日起</w:t>
            </w:r>
            <w:r w:rsidR="001E5AA2" w:rsidRPr="001E5AA2">
              <w:rPr>
                <w:rFonts w:eastAsia="標楷體" w:hint="eastAsia"/>
                <w:sz w:val="28"/>
                <w:szCs w:val="28"/>
              </w:rPr>
              <w:t>10</w:t>
            </w:r>
            <w:r w:rsidR="001E5AA2" w:rsidRPr="001E5AA2">
              <w:rPr>
                <w:rFonts w:eastAsia="標楷體" w:hint="eastAsia"/>
                <w:sz w:val="28"/>
                <w:szCs w:val="28"/>
              </w:rPr>
              <w:t>日</w:t>
            </w:r>
            <w:proofErr w:type="gramStart"/>
            <w:r w:rsidR="001E5AA2" w:rsidRPr="001E5AA2">
              <w:rPr>
                <w:rFonts w:eastAsia="標楷體" w:hint="eastAsia"/>
                <w:sz w:val="28"/>
                <w:szCs w:val="28"/>
              </w:rPr>
              <w:t>內</w:t>
            </w:r>
            <w:r w:rsidRPr="001E5AA2">
              <w:rPr>
                <w:rFonts w:eastAsia="標楷體"/>
                <w:sz w:val="28"/>
                <w:szCs w:val="28"/>
              </w:rPr>
              <w:t>函送</w:t>
            </w:r>
            <w:r w:rsidR="002A5B22" w:rsidRPr="001E5AA2">
              <w:rPr>
                <w:rFonts w:eastAsia="標楷體" w:hint="eastAsia"/>
                <w:sz w:val="28"/>
                <w:szCs w:val="28"/>
              </w:rPr>
              <w:t>櫃買</w:t>
            </w:r>
            <w:proofErr w:type="gramEnd"/>
            <w:r w:rsidRPr="001E5AA2">
              <w:rPr>
                <w:rFonts w:eastAsia="標楷體"/>
                <w:sz w:val="28"/>
                <w:szCs w:val="28"/>
              </w:rPr>
              <w:t>中心</w:t>
            </w:r>
            <w:r w:rsidRPr="001E5AA2">
              <w:rPr>
                <w:rFonts w:eastAsia="標楷體"/>
                <w:sz w:val="28"/>
                <w:szCs w:val="28"/>
              </w:rPr>
              <w:lastRenderedPageBreak/>
              <w:t>備查。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C359651" w14:textId="123EFBF4" w:rsidR="00F42C8D" w:rsidRPr="008A57A0" w:rsidRDefault="008A57A0" w:rsidP="008A57A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應依</w:t>
            </w:r>
            <w:r w:rsidRPr="008A57A0">
              <w:rPr>
                <w:rFonts w:eastAsia="標楷體" w:hint="eastAsia"/>
                <w:sz w:val="28"/>
                <w:szCs w:val="28"/>
              </w:rPr>
              <w:t>「公開發行公司建立內部控制制度處理準則」第</w:t>
            </w:r>
            <w:r w:rsidRPr="008A57A0">
              <w:rPr>
                <w:rFonts w:eastAsia="標楷體" w:hint="eastAsia"/>
                <w:sz w:val="28"/>
                <w:szCs w:val="28"/>
              </w:rPr>
              <w:t>8</w:t>
            </w:r>
            <w:r w:rsidRPr="008A57A0">
              <w:rPr>
                <w:rFonts w:eastAsia="標楷體" w:hint="eastAsia"/>
                <w:sz w:val="28"/>
                <w:szCs w:val="28"/>
              </w:rPr>
              <w:t>條第</w:t>
            </w:r>
            <w:r w:rsidRPr="008A57A0">
              <w:rPr>
                <w:rFonts w:eastAsia="標楷體" w:hint="eastAsia"/>
                <w:sz w:val="28"/>
                <w:szCs w:val="28"/>
              </w:rPr>
              <w:t>3</w:t>
            </w:r>
            <w:r w:rsidRPr="008A57A0">
              <w:rPr>
                <w:rFonts w:eastAsia="標楷體" w:hint="eastAsia"/>
                <w:sz w:val="28"/>
                <w:szCs w:val="28"/>
              </w:rPr>
              <w:t>項及</w:t>
            </w:r>
            <w:r>
              <w:rPr>
                <w:rFonts w:eastAsia="標楷體" w:hint="eastAsia"/>
                <w:sz w:val="28"/>
                <w:szCs w:val="28"/>
              </w:rPr>
              <w:t>櫃買</w:t>
            </w:r>
            <w:r w:rsidRPr="008A57A0">
              <w:rPr>
                <w:rFonts w:eastAsia="標楷體" w:hint="eastAsia"/>
                <w:sz w:val="28"/>
                <w:szCs w:val="28"/>
              </w:rPr>
              <w:t>中心</w:t>
            </w:r>
            <w:r w:rsidRPr="008A57A0">
              <w:rPr>
                <w:rFonts w:eastAsia="標楷體" w:hint="eastAsia"/>
                <w:sz w:val="28"/>
                <w:szCs w:val="28"/>
              </w:rPr>
              <w:t>102</w:t>
            </w:r>
            <w:r w:rsidRPr="008A57A0">
              <w:rPr>
                <w:rFonts w:eastAsia="標楷體" w:hint="eastAsia"/>
                <w:sz w:val="28"/>
                <w:szCs w:val="28"/>
              </w:rPr>
              <w:t>年</w:t>
            </w:r>
            <w:r w:rsidRPr="008A57A0">
              <w:rPr>
                <w:rFonts w:eastAsia="標楷體" w:hint="eastAsia"/>
                <w:sz w:val="28"/>
                <w:szCs w:val="28"/>
              </w:rPr>
              <w:t>5</w:t>
            </w:r>
            <w:r w:rsidRPr="008A57A0">
              <w:rPr>
                <w:rFonts w:eastAsia="標楷體" w:hint="eastAsia"/>
                <w:sz w:val="28"/>
                <w:szCs w:val="28"/>
              </w:rPr>
              <w:t>月</w:t>
            </w:r>
            <w:r w:rsidRPr="008A57A0">
              <w:rPr>
                <w:rFonts w:eastAsia="標楷體" w:hint="eastAsia"/>
                <w:sz w:val="28"/>
                <w:szCs w:val="28"/>
              </w:rPr>
              <w:t>29</w:t>
            </w:r>
            <w:r w:rsidRPr="008A57A0">
              <w:rPr>
                <w:rFonts w:eastAsia="標楷體" w:hint="eastAsia"/>
                <w:sz w:val="28"/>
                <w:szCs w:val="28"/>
              </w:rPr>
              <w:t>日</w:t>
            </w:r>
            <w:proofErr w:type="gramStart"/>
            <w:r w:rsidRPr="008A57A0">
              <w:rPr>
                <w:rFonts w:eastAsia="標楷體" w:hint="eastAsia"/>
                <w:sz w:val="28"/>
                <w:szCs w:val="28"/>
              </w:rPr>
              <w:t>證櫃監字</w:t>
            </w:r>
            <w:proofErr w:type="gramEnd"/>
            <w:r w:rsidRPr="008A57A0">
              <w:rPr>
                <w:rFonts w:eastAsia="標楷體" w:hint="eastAsia"/>
                <w:sz w:val="28"/>
                <w:szCs w:val="28"/>
              </w:rPr>
              <w:t>1020200498</w:t>
            </w:r>
            <w:r w:rsidRPr="008A57A0">
              <w:rPr>
                <w:rFonts w:eastAsia="標楷體" w:hint="eastAsia"/>
                <w:sz w:val="28"/>
                <w:szCs w:val="28"/>
              </w:rPr>
              <w:t>函</w:t>
            </w:r>
            <w:r w:rsidRPr="008A57A0">
              <w:rPr>
                <w:rFonts w:eastAsia="標楷體"/>
                <w:sz w:val="28"/>
                <w:szCs w:val="28"/>
              </w:rPr>
              <w:t>之規定</w:t>
            </w:r>
            <w:r>
              <w:rPr>
                <w:rFonts w:eastAsia="標楷體" w:hint="eastAsia"/>
                <w:sz w:val="28"/>
                <w:szCs w:val="28"/>
              </w:rPr>
              <w:t>辦理。</w:t>
            </w:r>
          </w:p>
        </w:tc>
      </w:tr>
    </w:tbl>
    <w:p w14:paraId="015EE033" w14:textId="06BED418" w:rsidR="00F4131F" w:rsidRPr="005C548E" w:rsidRDefault="00F4131F" w:rsidP="00C41510"/>
    <w:sectPr w:rsidR="00F4131F" w:rsidRPr="005C548E" w:rsidSect="00AC0B8F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00D0" w14:textId="77777777" w:rsidR="008E72F1" w:rsidRDefault="008E72F1" w:rsidP="005C548E">
      <w:pPr>
        <w:spacing w:line="240" w:lineRule="auto"/>
      </w:pPr>
      <w:r>
        <w:separator/>
      </w:r>
    </w:p>
  </w:endnote>
  <w:endnote w:type="continuationSeparator" w:id="0">
    <w:p w14:paraId="29E81727" w14:textId="77777777" w:rsidR="008E72F1" w:rsidRDefault="008E72F1" w:rsidP="005C5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835430"/>
      <w:docPartObj>
        <w:docPartGallery w:val="Page Numbers (Bottom of Page)"/>
        <w:docPartUnique/>
      </w:docPartObj>
    </w:sdtPr>
    <w:sdtContent>
      <w:p w14:paraId="5DD7508F" w14:textId="61E1EB12" w:rsidR="001F3761" w:rsidRDefault="001F37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3DD0E8F" w14:textId="77777777" w:rsidR="001F3761" w:rsidRDefault="001F37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581B5" w14:textId="77777777" w:rsidR="008E72F1" w:rsidRDefault="008E72F1" w:rsidP="005C548E">
      <w:pPr>
        <w:spacing w:line="240" w:lineRule="auto"/>
      </w:pPr>
      <w:r>
        <w:separator/>
      </w:r>
    </w:p>
  </w:footnote>
  <w:footnote w:type="continuationSeparator" w:id="0">
    <w:p w14:paraId="17479E65" w14:textId="77777777" w:rsidR="008E72F1" w:rsidRDefault="008E72F1" w:rsidP="005C54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C00"/>
    <w:multiLevelType w:val="hybridMultilevel"/>
    <w:tmpl w:val="2AD46CBE"/>
    <w:lvl w:ilvl="0" w:tplc="392EFB1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D3076"/>
    <w:multiLevelType w:val="hybridMultilevel"/>
    <w:tmpl w:val="C9F0ABBC"/>
    <w:lvl w:ilvl="0" w:tplc="FCB6732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2D5A40"/>
    <w:multiLevelType w:val="hybridMultilevel"/>
    <w:tmpl w:val="298E89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ED2740"/>
    <w:multiLevelType w:val="hybridMultilevel"/>
    <w:tmpl w:val="BD4EFEDC"/>
    <w:lvl w:ilvl="0" w:tplc="33FCA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4B41C2"/>
    <w:multiLevelType w:val="hybridMultilevel"/>
    <w:tmpl w:val="0658A5BA"/>
    <w:lvl w:ilvl="0" w:tplc="A0CAF7A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FB6AFB"/>
    <w:multiLevelType w:val="hybridMultilevel"/>
    <w:tmpl w:val="FA4E327E"/>
    <w:lvl w:ilvl="0" w:tplc="891C997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C777D8"/>
    <w:multiLevelType w:val="hybridMultilevel"/>
    <w:tmpl w:val="BD4EFEDC"/>
    <w:lvl w:ilvl="0" w:tplc="33FCA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D8364A"/>
    <w:multiLevelType w:val="hybridMultilevel"/>
    <w:tmpl w:val="D982F0A2"/>
    <w:lvl w:ilvl="0" w:tplc="2F986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47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EC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E4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6C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C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27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8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C1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8A262E"/>
    <w:multiLevelType w:val="hybridMultilevel"/>
    <w:tmpl w:val="E208D6E2"/>
    <w:lvl w:ilvl="0" w:tplc="4016DB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050B8B"/>
    <w:multiLevelType w:val="hybridMultilevel"/>
    <w:tmpl w:val="BD4EFEDC"/>
    <w:lvl w:ilvl="0" w:tplc="33FCA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4B0269"/>
    <w:multiLevelType w:val="hybridMultilevel"/>
    <w:tmpl w:val="5804E656"/>
    <w:lvl w:ilvl="0" w:tplc="26C60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780B63"/>
    <w:multiLevelType w:val="hybridMultilevel"/>
    <w:tmpl w:val="BD4EFEDC"/>
    <w:lvl w:ilvl="0" w:tplc="33FCA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3C33AF"/>
    <w:multiLevelType w:val="hybridMultilevel"/>
    <w:tmpl w:val="EAD0ABFA"/>
    <w:lvl w:ilvl="0" w:tplc="D516444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750D9D"/>
    <w:multiLevelType w:val="hybridMultilevel"/>
    <w:tmpl w:val="BD4EFEDC"/>
    <w:lvl w:ilvl="0" w:tplc="33FCA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8E"/>
    <w:rsid w:val="00004FD0"/>
    <w:rsid w:val="00006798"/>
    <w:rsid w:val="00021429"/>
    <w:rsid w:val="00042251"/>
    <w:rsid w:val="000479A5"/>
    <w:rsid w:val="000B3E81"/>
    <w:rsid w:val="000B7263"/>
    <w:rsid w:val="000F2561"/>
    <w:rsid w:val="0010335F"/>
    <w:rsid w:val="001A2F46"/>
    <w:rsid w:val="001C07C4"/>
    <w:rsid w:val="001C55EC"/>
    <w:rsid w:val="001E3880"/>
    <w:rsid w:val="001E5AA2"/>
    <w:rsid w:val="001F3761"/>
    <w:rsid w:val="00224E06"/>
    <w:rsid w:val="0025525B"/>
    <w:rsid w:val="00285661"/>
    <w:rsid w:val="0028773C"/>
    <w:rsid w:val="002A2AA6"/>
    <w:rsid w:val="002A580B"/>
    <w:rsid w:val="002A5B22"/>
    <w:rsid w:val="002E3238"/>
    <w:rsid w:val="002F5143"/>
    <w:rsid w:val="0032380C"/>
    <w:rsid w:val="00363FE7"/>
    <w:rsid w:val="003F3C4D"/>
    <w:rsid w:val="004343E8"/>
    <w:rsid w:val="004B252F"/>
    <w:rsid w:val="004B72F1"/>
    <w:rsid w:val="004C561A"/>
    <w:rsid w:val="004D3582"/>
    <w:rsid w:val="004E4F48"/>
    <w:rsid w:val="00513AB8"/>
    <w:rsid w:val="00521F4D"/>
    <w:rsid w:val="00560ED6"/>
    <w:rsid w:val="00570A54"/>
    <w:rsid w:val="005735B3"/>
    <w:rsid w:val="00591924"/>
    <w:rsid w:val="005C548E"/>
    <w:rsid w:val="00613C86"/>
    <w:rsid w:val="006149F7"/>
    <w:rsid w:val="00632245"/>
    <w:rsid w:val="006354B3"/>
    <w:rsid w:val="00691149"/>
    <w:rsid w:val="006C7814"/>
    <w:rsid w:val="006F13E7"/>
    <w:rsid w:val="006F48EB"/>
    <w:rsid w:val="006F71A3"/>
    <w:rsid w:val="007249BB"/>
    <w:rsid w:val="00786AEB"/>
    <w:rsid w:val="007B7D3C"/>
    <w:rsid w:val="007D60EB"/>
    <w:rsid w:val="007E70DA"/>
    <w:rsid w:val="00831A8A"/>
    <w:rsid w:val="00852697"/>
    <w:rsid w:val="008A57A0"/>
    <w:rsid w:val="008E3242"/>
    <w:rsid w:val="008E72F1"/>
    <w:rsid w:val="009A140E"/>
    <w:rsid w:val="00A673E5"/>
    <w:rsid w:val="00AC0B8F"/>
    <w:rsid w:val="00AE4B95"/>
    <w:rsid w:val="00BA682C"/>
    <w:rsid w:val="00C06251"/>
    <w:rsid w:val="00C30D55"/>
    <w:rsid w:val="00C41510"/>
    <w:rsid w:val="00CA09B5"/>
    <w:rsid w:val="00CD3410"/>
    <w:rsid w:val="00CF1D0B"/>
    <w:rsid w:val="00CF7ACE"/>
    <w:rsid w:val="00D06E28"/>
    <w:rsid w:val="00D47C1F"/>
    <w:rsid w:val="00D67BF2"/>
    <w:rsid w:val="00D96C29"/>
    <w:rsid w:val="00DB787D"/>
    <w:rsid w:val="00DC4988"/>
    <w:rsid w:val="00DE1319"/>
    <w:rsid w:val="00DF107D"/>
    <w:rsid w:val="00E3152C"/>
    <w:rsid w:val="00E8517B"/>
    <w:rsid w:val="00F17045"/>
    <w:rsid w:val="00F20C5E"/>
    <w:rsid w:val="00F27666"/>
    <w:rsid w:val="00F4131F"/>
    <w:rsid w:val="00F418BD"/>
    <w:rsid w:val="00F42C8D"/>
    <w:rsid w:val="00F56E34"/>
    <w:rsid w:val="00FA47C0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EE9BE"/>
  <w15:chartTrackingRefBased/>
  <w15:docId w15:val="{FB132772-F968-44FB-B789-E33ED823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48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4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C548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54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C548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DC498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5525B"/>
    <w:pPr>
      <w:adjustRightInd/>
      <w:spacing w:line="240" w:lineRule="auto"/>
      <w:textAlignment w:val="auto"/>
    </w:pPr>
    <w:rPr>
      <w:rFonts w:ascii="Calibri Light" w:hAnsi="Calibri Light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525B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角維穎</dc:creator>
  <cp:keywords/>
  <dc:description/>
  <cp:lastModifiedBy>角維穎</cp:lastModifiedBy>
  <cp:revision>108</cp:revision>
  <dcterms:created xsi:type="dcterms:W3CDTF">2019-12-31T08:51:00Z</dcterms:created>
  <dcterms:modified xsi:type="dcterms:W3CDTF">2020-01-17T05:32:00Z</dcterms:modified>
</cp:coreProperties>
</file>