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1" w:rsidRPr="00851CE2" w:rsidRDefault="00455091" w:rsidP="00455091">
      <w:pPr>
        <w:ind w:leftChars="50" w:left="140"/>
        <w:rPr>
          <w:bCs/>
        </w:rPr>
      </w:pPr>
      <w:r w:rsidRPr="00851CE2">
        <w:rPr>
          <w:rFonts w:hint="eastAsia"/>
          <w:bCs/>
        </w:rPr>
        <w:t>除權息及上下</w:t>
      </w:r>
      <w:r w:rsidR="00325D6B">
        <w:rPr>
          <w:rFonts w:hint="eastAsia"/>
          <w:bCs/>
          <w:u w:val="single"/>
        </w:rPr>
        <w:t>櫃</w:t>
      </w:r>
      <w:r w:rsidRPr="00851CE2">
        <w:rPr>
          <w:rFonts w:hint="eastAsia"/>
          <w:bCs/>
        </w:rPr>
        <w:t xml:space="preserve">資訊檔                              頁次 ：_2_- </w:t>
      </w:r>
      <w:r w:rsidRPr="00851CE2">
        <w:rPr>
          <w:bCs/>
        </w:rPr>
        <w:t>1</w:t>
      </w:r>
    </w:p>
    <w:p w:rsidR="00455091" w:rsidRPr="00851CE2" w:rsidRDefault="00455091" w:rsidP="00455091">
      <w:pPr>
        <w:spacing w:line="400" w:lineRule="atLeast"/>
        <w:ind w:firstLineChars="50" w:firstLine="140"/>
        <w:rPr>
          <w:rFonts w:hAnsi="標楷體"/>
          <w:bCs/>
        </w:rPr>
      </w:pPr>
      <w:r w:rsidRPr="00851CE2">
        <w:rPr>
          <w:rFonts w:hAnsi="標楷體" w:hint="eastAsia"/>
          <w:bCs/>
        </w:rPr>
        <w:t>檔案結構：U　         檔案長度：</w:t>
      </w:r>
      <w:r w:rsidRPr="00DA191F">
        <w:rPr>
          <w:rFonts w:hAnsi="標楷體" w:hint="eastAsia"/>
          <w:bCs/>
          <w:color w:val="FF0000"/>
        </w:rPr>
        <w:t>2</w:t>
      </w:r>
      <w:r w:rsidRPr="00DA191F">
        <w:rPr>
          <w:rFonts w:hAnsi="標楷體"/>
          <w:bCs/>
          <w:color w:val="FF0000"/>
        </w:rPr>
        <w:t>6</w:t>
      </w:r>
      <w:r w:rsidRPr="00DA191F">
        <w:rPr>
          <w:rFonts w:hAnsi="標楷體" w:hint="eastAsia"/>
          <w:bCs/>
          <w:color w:val="FF0000"/>
        </w:rPr>
        <w:t>0</w:t>
      </w:r>
      <w:r w:rsidRPr="00851CE2">
        <w:rPr>
          <w:rFonts w:hAnsi="標楷體" w:hint="eastAsia"/>
          <w:bCs/>
        </w:rPr>
        <w:t xml:space="preserve">　             檔案代號：T48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1540"/>
        <w:gridCol w:w="1400"/>
        <w:gridCol w:w="2520"/>
        <w:gridCol w:w="980"/>
      </w:tblGrid>
      <w:tr w:rsidR="00455091" w:rsidRPr="00851CE2" w:rsidTr="00A57231">
        <w:tc>
          <w:tcPr>
            <w:tcW w:w="322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階層碼/ 項目名稱</w:t>
            </w:r>
          </w:p>
        </w:tc>
        <w:tc>
          <w:tcPr>
            <w:tcW w:w="154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屬性</w:t>
            </w:r>
          </w:p>
        </w:tc>
        <w:tc>
          <w:tcPr>
            <w:tcW w:w="140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位置-長度</w:t>
            </w:r>
          </w:p>
        </w:tc>
        <w:tc>
          <w:tcPr>
            <w:tcW w:w="252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項目說明</w:t>
            </w:r>
          </w:p>
        </w:tc>
        <w:tc>
          <w:tcPr>
            <w:tcW w:w="980" w:type="dxa"/>
            <w:vAlign w:val="center"/>
          </w:tcPr>
          <w:p w:rsidR="00455091" w:rsidRPr="00851CE2" w:rsidRDefault="00455091" w:rsidP="00A57231">
            <w:pPr>
              <w:jc w:val="center"/>
              <w:rPr>
                <w:rFonts w:ascii="Times New Roman"/>
                <w:bCs/>
              </w:rPr>
            </w:pPr>
            <w:r w:rsidRPr="00851CE2">
              <w:rPr>
                <w:rFonts w:hint="eastAsia"/>
                <w:bCs/>
              </w:rPr>
              <w:t>備註</w:t>
            </w: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生效日期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>9(</w:t>
            </w:r>
            <w:r w:rsidRPr="00851CE2">
              <w:rPr>
                <w:rFonts w:hint="eastAsia"/>
                <w:bCs/>
              </w:rPr>
              <w:t>8</w:t>
            </w:r>
            <w:r w:rsidRPr="00851CE2">
              <w:rPr>
                <w:bCs/>
              </w:rPr>
              <w:t>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 xml:space="preserve">  </w:t>
            </w:r>
            <w:r w:rsidRPr="00851CE2">
              <w:rPr>
                <w:rFonts w:hint="eastAsia"/>
                <w:bCs/>
              </w:rPr>
              <w:t>1</w:t>
            </w:r>
            <w:r w:rsidRPr="00851CE2">
              <w:rPr>
                <w:bCs/>
              </w:rPr>
              <w:t xml:space="preserve">-   </w:t>
            </w:r>
            <w:r w:rsidRPr="00851CE2">
              <w:rPr>
                <w:rFonts w:hint="eastAsia"/>
                <w:bCs/>
              </w:rPr>
              <w:t>8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西元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股票代號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>X(6)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 xml:space="preserve">  </w:t>
            </w:r>
            <w:r w:rsidRPr="00851CE2">
              <w:rPr>
                <w:rFonts w:hint="eastAsia"/>
                <w:bCs/>
              </w:rPr>
              <w:t>9</w:t>
            </w:r>
            <w:r w:rsidRPr="00851CE2">
              <w:rPr>
                <w:bCs/>
              </w:rPr>
              <w:t>-   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股票簡稱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>X(</w:t>
            </w:r>
            <w:r w:rsidRPr="00851CE2">
              <w:rPr>
                <w:rFonts w:hint="eastAsia"/>
                <w:bCs/>
              </w:rPr>
              <w:t>1</w:t>
            </w:r>
            <w:r w:rsidRPr="00851CE2">
              <w:rPr>
                <w:bCs/>
              </w:rPr>
              <w:t>6)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bCs/>
              </w:rPr>
              <w:t xml:space="preserve"> 1</w:t>
            </w:r>
            <w:r w:rsidRPr="00851CE2">
              <w:rPr>
                <w:rFonts w:hint="eastAsia"/>
                <w:bCs/>
              </w:rPr>
              <w:t>5</w:t>
            </w:r>
            <w:r w:rsidRPr="00851CE2">
              <w:rPr>
                <w:bCs/>
              </w:rPr>
              <w:t xml:space="preserve">-  </w:t>
            </w:r>
            <w:r w:rsidRPr="00851CE2">
              <w:rPr>
                <w:rFonts w:hint="eastAsia"/>
                <w:bCs/>
              </w:rPr>
              <w:t>1</w:t>
            </w:r>
            <w:r w:rsidRPr="00851CE2">
              <w:rPr>
                <w:bCs/>
              </w:rPr>
              <w:t>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資料區分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X(1)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ind w:firstLineChars="50" w:firstLine="140"/>
              <w:rPr>
                <w:bCs/>
              </w:rPr>
            </w:pPr>
            <w:r w:rsidRPr="00851CE2">
              <w:rPr>
                <w:rFonts w:hint="eastAsia"/>
                <w:bCs/>
              </w:rPr>
              <w:t>31-   1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ind w:leftChars="1" w:left="359" w:hangingChars="127" w:hanging="356"/>
              <w:rPr>
                <w:rFonts w:hAnsi="標楷體"/>
                <w:bCs/>
                <w:szCs w:val="28"/>
              </w:rPr>
            </w:pPr>
            <w:r w:rsidRPr="00851CE2">
              <w:rPr>
                <w:rFonts w:hint="eastAsia"/>
                <w:bCs/>
              </w:rPr>
              <w:t>1:</w:t>
            </w:r>
            <w:r w:rsidRPr="00851CE2">
              <w:rPr>
                <w:rFonts w:hAnsi="標楷體" w:hint="eastAsia"/>
                <w:bCs/>
                <w:szCs w:val="28"/>
              </w:rPr>
              <w:t>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</w:rPr>
              <w:t>計算結果資料</w:t>
            </w:r>
          </w:p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2:除權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</w:rPr>
              <w:t>預告資料</w:t>
            </w:r>
          </w:p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  <w:szCs w:val="28"/>
              </w:rPr>
              <w:t>3:</w:t>
            </w:r>
            <w:r w:rsidRPr="00851CE2">
              <w:rPr>
                <w:rFonts w:hint="eastAsia"/>
                <w:bCs/>
              </w:rPr>
              <w:t>上</w:t>
            </w:r>
            <w:r>
              <w:rPr>
                <w:rFonts w:hint="eastAsia"/>
                <w:bCs/>
              </w:rPr>
              <w:t>櫃</w:t>
            </w:r>
            <w:r w:rsidRPr="00851CE2">
              <w:rPr>
                <w:rFonts w:hint="eastAsia"/>
                <w:bCs/>
              </w:rPr>
              <w:t>證券</w:t>
            </w:r>
          </w:p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int="eastAsia"/>
                <w:bCs/>
              </w:rPr>
              <w:t>4</w:t>
            </w:r>
            <w:r w:rsidRPr="00851CE2">
              <w:rPr>
                <w:rFonts w:hAnsi="標楷體" w:hint="eastAsia"/>
                <w:bCs/>
                <w:szCs w:val="28"/>
              </w:rPr>
              <w:t>:</w:t>
            </w:r>
            <w:r>
              <w:rPr>
                <w:rFonts w:hint="eastAsia"/>
                <w:bCs/>
              </w:rPr>
              <w:t>下櫃</w:t>
            </w:r>
            <w:r w:rsidRPr="00851CE2">
              <w:rPr>
                <w:rFonts w:hint="eastAsia"/>
                <w:bCs/>
              </w:rPr>
              <w:t>證券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前一日收盤價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ind w:firstLineChars="50" w:firstLine="140"/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32-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除權參考價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41</w:t>
            </w:r>
            <w:r w:rsidRPr="00643973">
              <w:rPr>
                <w:rFonts w:hint="eastAsia"/>
                <w:bCs/>
                <w:color w:val="FF0000"/>
              </w:rPr>
              <w:t xml:space="preserve">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漲停價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50</w:t>
            </w:r>
            <w:r w:rsidRPr="00643973">
              <w:rPr>
                <w:rFonts w:hint="eastAsia"/>
                <w:bCs/>
                <w:color w:val="FF0000"/>
              </w:rPr>
              <w:t xml:space="preserve">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跌停價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 5</w:t>
            </w:r>
            <w:r>
              <w:rPr>
                <w:bCs/>
                <w:color w:val="FF0000"/>
              </w:rPr>
              <w:t>9</w:t>
            </w:r>
            <w:r w:rsidRPr="00643973">
              <w:rPr>
                <w:rFonts w:hint="eastAsia"/>
                <w:bCs/>
                <w:color w:val="FF0000"/>
              </w:rPr>
              <w:t xml:space="preserve">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開盤參考價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68</w:t>
            </w:r>
            <w:r w:rsidRPr="00643973">
              <w:rPr>
                <w:rFonts w:hint="eastAsia"/>
                <w:bCs/>
                <w:color w:val="FF0000"/>
              </w:rPr>
              <w:t xml:space="preserve">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 w:hint="eastAsia"/>
                <w:bCs/>
                <w:color w:val="FF0000"/>
                <w:szCs w:val="28"/>
              </w:rPr>
              <w:t>開盤競價基準</w:t>
            </w:r>
          </w:p>
        </w:tc>
        <w:tc>
          <w:tcPr>
            <w:tcW w:w="1540" w:type="dxa"/>
          </w:tcPr>
          <w:p w:rsidR="00455091" w:rsidRPr="00643973" w:rsidRDefault="00455091" w:rsidP="00A57231">
            <w:pPr>
              <w:rPr>
                <w:rFonts w:hAnsi="標楷體"/>
                <w:bCs/>
                <w:color w:val="FF0000"/>
                <w:szCs w:val="28"/>
              </w:rPr>
            </w:pPr>
            <w:r w:rsidRPr="00643973">
              <w:rPr>
                <w:rFonts w:hAnsi="標楷體"/>
                <w:bCs/>
                <w:color w:val="FF0000"/>
                <w:szCs w:val="28"/>
              </w:rPr>
              <w:t>9(5)V9(4)</w:t>
            </w:r>
          </w:p>
        </w:tc>
        <w:tc>
          <w:tcPr>
            <w:tcW w:w="140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int="eastAsia"/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77</w:t>
            </w:r>
            <w:r w:rsidRPr="00643973">
              <w:rPr>
                <w:rFonts w:hint="eastAsia"/>
                <w:bCs/>
                <w:color w:val="FF0000"/>
              </w:rPr>
              <w:t xml:space="preserve">-   </w:t>
            </w:r>
            <w:r>
              <w:rPr>
                <w:bCs/>
                <w:color w:val="FF0000"/>
              </w:rPr>
              <w:t>9</w:t>
            </w:r>
          </w:p>
        </w:tc>
        <w:tc>
          <w:tcPr>
            <w:tcW w:w="2520" w:type="dxa"/>
          </w:tcPr>
          <w:p w:rsidR="00455091" w:rsidRPr="00643973" w:rsidRDefault="00455091" w:rsidP="00A57231">
            <w:pPr>
              <w:rPr>
                <w:bCs/>
                <w:color w:val="FF0000"/>
              </w:rPr>
            </w:pPr>
            <w:r w:rsidRPr="00643973">
              <w:rPr>
                <w:rFonts w:hAnsi="標楷體" w:hint="eastAsia"/>
                <w:bCs/>
                <w:color w:val="FF0000"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proofErr w:type="gramStart"/>
            <w:r w:rsidRPr="00851CE2">
              <w:rPr>
                <w:rFonts w:hint="eastAsia"/>
                <w:bCs/>
              </w:rPr>
              <w:t>權息別</w:t>
            </w:r>
            <w:proofErr w:type="gramEnd"/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</w:t>
            </w:r>
            <w:r w:rsidRPr="00851CE2">
              <w:rPr>
                <w:bCs/>
              </w:rPr>
              <w:t>(</w:t>
            </w:r>
            <w:r w:rsidRPr="00851CE2">
              <w:rPr>
                <w:rFonts w:hint="eastAsia"/>
                <w:bCs/>
              </w:rPr>
              <w:t>1</w:t>
            </w:r>
            <w:r w:rsidRPr="00851CE2">
              <w:rPr>
                <w:bCs/>
              </w:rPr>
              <w:t>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 xml:space="preserve"> </w:t>
            </w:r>
            <w:r w:rsidRPr="001C6189">
              <w:rPr>
                <w:bCs/>
                <w:color w:val="FF0000"/>
              </w:rPr>
              <w:t>86</w:t>
            </w:r>
            <w:r w:rsidRPr="00851CE2">
              <w:rPr>
                <w:rFonts w:hint="eastAsia"/>
                <w:bCs/>
              </w:rPr>
              <w:t>-   1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1:權,2:息,3:權息</w:t>
            </w:r>
          </w:p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權值記號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X(1)</w:t>
            </w: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 xml:space="preserve"> </w:t>
            </w:r>
            <w:r w:rsidRPr="001C6189">
              <w:rPr>
                <w:bCs/>
                <w:color w:val="FF0000"/>
              </w:rPr>
              <w:t>87</w:t>
            </w:r>
            <w:r w:rsidRPr="00851CE2">
              <w:rPr>
                <w:rFonts w:hint="eastAsia"/>
                <w:bCs/>
              </w:rPr>
              <w:t>-   1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+/-</w:t>
            </w:r>
          </w:p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</w:rPr>
              <w:t>說明(6)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權值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/>
                <w:bCs/>
                <w:szCs w:val="28"/>
              </w:rPr>
              <w:t>9(4)V9(</w:t>
            </w:r>
            <w:r w:rsidRPr="00851CE2">
              <w:rPr>
                <w:rFonts w:hAnsi="標楷體" w:hint="eastAsia"/>
                <w:bCs/>
                <w:szCs w:val="28"/>
              </w:rPr>
              <w:t>6</w:t>
            </w:r>
            <w:r w:rsidRPr="00851CE2">
              <w:rPr>
                <w:rFonts w:hAnsi="標楷體"/>
                <w:bCs/>
                <w:szCs w:val="28"/>
              </w:rPr>
              <w:t>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851CE2">
              <w:rPr>
                <w:rFonts w:hint="eastAsia"/>
              </w:rPr>
              <w:t xml:space="preserve"> </w:t>
            </w:r>
            <w:r w:rsidRPr="001C6189">
              <w:rPr>
                <w:color w:val="FF0000"/>
              </w:rPr>
              <w:t>88</w:t>
            </w:r>
            <w:r w:rsidRPr="00851CE2">
              <w:rPr>
                <w:rFonts w:hint="eastAsia"/>
              </w:rPr>
              <w:t>-  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說明(3)(5)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proofErr w:type="gramStart"/>
            <w:r w:rsidRPr="00851CE2">
              <w:rPr>
                <w:rFonts w:hint="eastAsia"/>
                <w:bCs/>
              </w:rPr>
              <w:t>息值</w:t>
            </w:r>
            <w:proofErr w:type="gramEnd"/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9(4)V9(6)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851CE2">
              <w:t xml:space="preserve"> </w:t>
            </w:r>
            <w:r w:rsidRPr="001C6189">
              <w:rPr>
                <w:color w:val="FF0000"/>
              </w:rPr>
              <w:t>98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每仟股無償配股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9(11)V9(5)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color w:val="FF0000"/>
              </w:rPr>
              <w:t>108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</w:t>
            </w:r>
            <w:r w:rsidRPr="00851CE2">
              <w:t>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  <w:shd w:val="pct15" w:color="auto" w:fill="FFFFFF"/>
              </w:rPr>
            </w:pPr>
          </w:p>
        </w:tc>
      </w:tr>
      <w:tr w:rsidR="00455091" w:rsidRPr="00851CE2" w:rsidTr="00A57231">
        <w:trPr>
          <w:cantSplit/>
        </w:trPr>
        <w:tc>
          <w:tcPr>
            <w:tcW w:w="9660" w:type="dxa"/>
            <w:gridSpan w:val="5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說明：</w:t>
            </w:r>
          </w:p>
          <w:p w:rsidR="00455091" w:rsidRPr="00851CE2" w:rsidRDefault="00455091" w:rsidP="00A57231">
            <w:pPr>
              <w:ind w:leftChars="240" w:left="1032" w:rightChars="40" w:right="112" w:hangingChars="150" w:hanging="360"/>
              <w:rPr>
                <w:rFonts w:hAnsi="標楷體"/>
                <w:bCs/>
                <w:sz w:val="24"/>
                <w:szCs w:val="24"/>
              </w:rPr>
            </w:pPr>
            <w:r w:rsidRPr="00851CE2">
              <w:rPr>
                <w:rFonts w:hAnsi="標楷體" w:hint="eastAsia"/>
                <w:bCs/>
                <w:sz w:val="24"/>
                <w:szCs w:val="24"/>
              </w:rPr>
              <w:t>(1)本檔案於生效日期當日開盤前傳送給所有證券商。本檔案第一筆記錄僅記載生效日期欄位，其餘欄位為零(</w:t>
            </w:r>
            <w:r w:rsidRPr="00851CE2">
              <w:rPr>
                <w:rFonts w:hAnsi="標楷體"/>
                <w:bCs/>
                <w:sz w:val="24"/>
                <w:szCs w:val="24"/>
              </w:rPr>
              <w:t>numeric</w:t>
            </w:r>
            <w:r w:rsidRPr="00851CE2">
              <w:rPr>
                <w:rFonts w:hAnsi="標楷體" w:hint="eastAsia"/>
                <w:bCs/>
                <w:sz w:val="24"/>
                <w:szCs w:val="24"/>
              </w:rPr>
              <w:t>欄位)或空白(</w:t>
            </w:r>
            <w:r w:rsidRPr="00851CE2">
              <w:rPr>
                <w:rFonts w:hAnsi="標楷體"/>
                <w:bCs/>
                <w:sz w:val="24"/>
                <w:szCs w:val="24"/>
              </w:rPr>
              <w:t>character</w:t>
            </w:r>
            <w:r w:rsidRPr="00851CE2">
              <w:rPr>
                <w:rFonts w:hAnsi="標楷體" w:hint="eastAsia"/>
                <w:bCs/>
                <w:sz w:val="24"/>
                <w:szCs w:val="24"/>
              </w:rPr>
              <w:t>欄位)，當生效日期無任何相關資料時，本檔案僅記錄第一筆生效日期記錄。</w:t>
            </w:r>
          </w:p>
        </w:tc>
      </w:tr>
    </w:tbl>
    <w:p w:rsidR="00455091" w:rsidRDefault="00455091" w:rsidP="00455091">
      <w:pPr>
        <w:jc w:val="center"/>
        <w:rPr>
          <w:bCs/>
        </w:rPr>
      </w:pPr>
    </w:p>
    <w:p w:rsidR="00455091" w:rsidRDefault="00455091" w:rsidP="00455091">
      <w:pPr>
        <w:jc w:val="center"/>
        <w:rPr>
          <w:bCs/>
        </w:rPr>
      </w:pPr>
    </w:p>
    <w:p w:rsidR="00455091" w:rsidRPr="00851CE2" w:rsidRDefault="00455091" w:rsidP="00455091">
      <w:pPr>
        <w:jc w:val="center"/>
        <w:rPr>
          <w:bCs/>
        </w:rPr>
      </w:pPr>
    </w:p>
    <w:p w:rsidR="00455091" w:rsidRPr="00851CE2" w:rsidRDefault="00325D6B" w:rsidP="00455091">
      <w:pPr>
        <w:ind w:leftChars="50" w:left="140"/>
        <w:rPr>
          <w:bCs/>
        </w:rPr>
      </w:pPr>
      <w:r>
        <w:rPr>
          <w:rFonts w:hint="eastAsia"/>
          <w:bCs/>
        </w:rPr>
        <w:t>除權息及上下</w:t>
      </w:r>
      <w:r>
        <w:rPr>
          <w:rFonts w:hint="eastAsia"/>
          <w:bCs/>
          <w:u w:val="single"/>
        </w:rPr>
        <w:t>櫃</w:t>
      </w:r>
      <w:r w:rsidR="00455091" w:rsidRPr="00851CE2">
        <w:rPr>
          <w:rFonts w:hint="eastAsia"/>
          <w:bCs/>
        </w:rPr>
        <w:t>資訊檔                              頁次 ：_2_- 2</w:t>
      </w:r>
    </w:p>
    <w:p w:rsidR="00455091" w:rsidRPr="00851CE2" w:rsidRDefault="00455091" w:rsidP="00455091">
      <w:pPr>
        <w:spacing w:line="400" w:lineRule="atLeast"/>
        <w:ind w:firstLineChars="50" w:firstLine="140"/>
        <w:rPr>
          <w:rFonts w:hAnsi="標楷體"/>
          <w:bCs/>
        </w:rPr>
      </w:pPr>
      <w:r w:rsidRPr="00851CE2">
        <w:rPr>
          <w:rFonts w:hAnsi="標楷體" w:hint="eastAsia"/>
          <w:bCs/>
        </w:rPr>
        <w:t>檔案結構：U　         檔案長度：</w:t>
      </w:r>
      <w:r w:rsidRPr="00DA191F">
        <w:rPr>
          <w:rFonts w:hAnsi="標楷體" w:hint="eastAsia"/>
          <w:bCs/>
          <w:color w:val="FF0000"/>
        </w:rPr>
        <w:t>260</w:t>
      </w:r>
      <w:r w:rsidRPr="00851CE2">
        <w:rPr>
          <w:rFonts w:hAnsi="標楷體" w:hint="eastAsia"/>
          <w:bCs/>
        </w:rPr>
        <w:t xml:space="preserve">　             檔案代號：T48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1540"/>
        <w:gridCol w:w="1400"/>
        <w:gridCol w:w="2520"/>
        <w:gridCol w:w="980"/>
      </w:tblGrid>
      <w:tr w:rsidR="00455091" w:rsidRPr="00851CE2" w:rsidTr="00A57231">
        <w:tc>
          <w:tcPr>
            <w:tcW w:w="322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階層碼/ 項目名稱</w:t>
            </w:r>
          </w:p>
        </w:tc>
        <w:tc>
          <w:tcPr>
            <w:tcW w:w="154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屬性</w:t>
            </w:r>
          </w:p>
        </w:tc>
        <w:tc>
          <w:tcPr>
            <w:tcW w:w="140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位置-長度</w:t>
            </w:r>
          </w:p>
        </w:tc>
        <w:tc>
          <w:tcPr>
            <w:tcW w:w="2520" w:type="dxa"/>
            <w:vAlign w:val="center"/>
          </w:tcPr>
          <w:p w:rsidR="00455091" w:rsidRPr="00851CE2" w:rsidRDefault="00455091" w:rsidP="00A57231">
            <w:pPr>
              <w:jc w:val="center"/>
              <w:rPr>
                <w:bCs/>
              </w:rPr>
            </w:pPr>
            <w:r w:rsidRPr="00851CE2">
              <w:rPr>
                <w:rFonts w:hint="eastAsia"/>
                <w:bCs/>
              </w:rPr>
              <w:t>項目說明</w:t>
            </w:r>
          </w:p>
        </w:tc>
        <w:tc>
          <w:tcPr>
            <w:tcW w:w="980" w:type="dxa"/>
            <w:vAlign w:val="center"/>
          </w:tcPr>
          <w:p w:rsidR="00455091" w:rsidRPr="00851CE2" w:rsidRDefault="00455091" w:rsidP="00A57231">
            <w:pPr>
              <w:jc w:val="center"/>
              <w:rPr>
                <w:rFonts w:ascii="Times New Roman"/>
                <w:bCs/>
              </w:rPr>
            </w:pPr>
            <w:r w:rsidRPr="00851CE2">
              <w:rPr>
                <w:rFonts w:hint="eastAsia"/>
                <w:bCs/>
              </w:rPr>
              <w:t>備註</w:t>
            </w: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無償配股率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9(2)V9(8)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24</w:t>
            </w:r>
            <w:r w:rsidRPr="00851CE2">
              <w:rPr>
                <w:rFonts w:hint="eastAsia"/>
              </w:rPr>
              <w:t>-  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員工紅利轉增資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</w:t>
            </w:r>
            <w:r w:rsidRPr="00851CE2">
              <w:rPr>
                <w:bCs/>
              </w:rPr>
              <w:t>4</w:t>
            </w:r>
            <w:r w:rsidRPr="00851CE2">
              <w:rPr>
                <w:rFonts w:hint="eastAsia"/>
                <w:bCs/>
              </w:rPr>
              <w:t>)V9(2)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34</w:t>
            </w:r>
            <w:r w:rsidRPr="00851CE2">
              <w:t>-  1</w:t>
            </w:r>
            <w:r w:rsidRPr="00851CE2">
              <w:rPr>
                <w:rFonts w:hint="eastAsia"/>
              </w:rPr>
              <w:t>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員工紅利配股率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9(2)V9(8)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50</w:t>
            </w:r>
            <w:r w:rsidRPr="00851CE2">
              <w:rPr>
                <w:rFonts w:hint="eastAsia"/>
              </w:rPr>
              <w:t>-  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(有償)現金增資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</w:t>
            </w:r>
            <w:r w:rsidRPr="00851CE2">
              <w:rPr>
                <w:bCs/>
              </w:rPr>
              <w:t>4</w:t>
            </w:r>
            <w:r w:rsidRPr="00851CE2">
              <w:rPr>
                <w:rFonts w:hint="eastAsia"/>
                <w:bCs/>
              </w:rPr>
              <w:t>)V9(2)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color w:val="FF0000"/>
              </w:rPr>
              <w:t>160</w:t>
            </w:r>
            <w:r w:rsidRPr="00851CE2">
              <w:rPr>
                <w:rFonts w:hint="eastAsia"/>
              </w:rPr>
              <w:t>-</w:t>
            </w:r>
            <w:r w:rsidRPr="00851CE2">
              <w:t xml:space="preserve">  </w:t>
            </w:r>
            <w:r w:rsidRPr="00851CE2">
              <w:rPr>
                <w:rFonts w:hint="eastAsia"/>
              </w:rPr>
              <w:t>16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現金增資配股率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9(2)V9(8)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76</w:t>
            </w:r>
            <w:r w:rsidRPr="00851CE2">
              <w:rPr>
                <w:rFonts w:hint="eastAsia"/>
              </w:rPr>
              <w:t>-  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每股認購金額(元/股)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9(6)V9(4)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86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10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公開承銷(股數)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</w:t>
            </w:r>
            <w:r w:rsidRPr="00851CE2">
              <w:rPr>
                <w:bCs/>
              </w:rPr>
              <w:t>4</w:t>
            </w:r>
            <w:r w:rsidRPr="00851CE2">
              <w:rPr>
                <w:rFonts w:hint="eastAsia"/>
                <w:bCs/>
              </w:rPr>
              <w:t>)V9(2)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1</w:t>
            </w:r>
            <w:r w:rsidRPr="001C6189">
              <w:rPr>
                <w:color w:val="FF0000"/>
              </w:rPr>
              <w:t>96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員工認購(股數)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</w:t>
            </w:r>
            <w:r w:rsidRPr="00851CE2">
              <w:rPr>
                <w:bCs/>
              </w:rPr>
              <w:t>4</w:t>
            </w:r>
            <w:r w:rsidRPr="00851CE2">
              <w:rPr>
                <w:rFonts w:hint="eastAsia"/>
                <w:bCs/>
              </w:rPr>
              <w:t>)V9(2)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color w:val="FF0000"/>
              </w:rPr>
              <w:t>212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</w:t>
            </w:r>
            <w:r w:rsidRPr="00851CE2">
              <w:t>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原股東認購(股數)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9(1</w:t>
            </w:r>
            <w:r w:rsidRPr="00851CE2">
              <w:rPr>
                <w:bCs/>
              </w:rPr>
              <w:t>4</w:t>
            </w:r>
            <w:r w:rsidRPr="00851CE2">
              <w:rPr>
                <w:rFonts w:hint="eastAsia"/>
                <w:bCs/>
              </w:rPr>
              <w:t>)V9(2)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2</w:t>
            </w:r>
            <w:r w:rsidRPr="001C6189">
              <w:rPr>
                <w:color w:val="FF0000"/>
              </w:rPr>
              <w:t>28</w:t>
            </w:r>
            <w:r w:rsidRPr="00851CE2">
              <w:t xml:space="preserve">-  </w:t>
            </w:r>
            <w:r w:rsidRPr="00851CE2">
              <w:rPr>
                <w:rFonts w:hint="eastAsia"/>
              </w:rPr>
              <w:t>1</w:t>
            </w:r>
            <w:r w:rsidRPr="00851CE2">
              <w:t>6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說明(4)(5)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股東每仟股認購股數</w:t>
            </w: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9(6)V9(8)</w:t>
            </w:r>
          </w:p>
        </w:tc>
        <w:tc>
          <w:tcPr>
            <w:tcW w:w="1400" w:type="dxa"/>
          </w:tcPr>
          <w:p w:rsidR="00455091" w:rsidRPr="00851CE2" w:rsidRDefault="00455091" w:rsidP="00A57231">
            <w:r w:rsidRPr="001C6189">
              <w:rPr>
                <w:rFonts w:hint="eastAsia"/>
                <w:color w:val="FF0000"/>
              </w:rPr>
              <w:t>2</w:t>
            </w:r>
            <w:r w:rsidRPr="001C6189">
              <w:rPr>
                <w:color w:val="FF0000"/>
              </w:rPr>
              <w:t>44</w:t>
            </w:r>
            <w:r w:rsidRPr="00851CE2">
              <w:rPr>
                <w:rFonts w:hint="eastAsia"/>
              </w:rPr>
              <w:t>-  14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Ansi="標楷體" w:hint="eastAsia"/>
                <w:bCs/>
              </w:rPr>
              <w:t>說明(5)</w:t>
            </w: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1C6189" w:rsidRDefault="00455091" w:rsidP="00A57231">
            <w:pPr>
              <w:rPr>
                <w:bCs/>
                <w:color w:val="FF0000"/>
              </w:rPr>
            </w:pPr>
            <w:r w:rsidRPr="001C6189">
              <w:rPr>
                <w:rFonts w:hint="eastAsia"/>
                <w:bCs/>
                <w:color w:val="FF0000"/>
              </w:rPr>
              <w:t>空白</w:t>
            </w:r>
          </w:p>
        </w:tc>
        <w:tc>
          <w:tcPr>
            <w:tcW w:w="1540" w:type="dxa"/>
          </w:tcPr>
          <w:p w:rsidR="00455091" w:rsidRPr="001C6189" w:rsidRDefault="00455091" w:rsidP="00A57231">
            <w:pPr>
              <w:rPr>
                <w:bCs/>
                <w:color w:val="FF0000"/>
              </w:rPr>
            </w:pPr>
            <w:r w:rsidRPr="001C6189">
              <w:rPr>
                <w:bCs/>
                <w:color w:val="FF0000"/>
              </w:rPr>
              <w:t>X(3)</w:t>
            </w:r>
          </w:p>
        </w:tc>
        <w:tc>
          <w:tcPr>
            <w:tcW w:w="1400" w:type="dxa"/>
          </w:tcPr>
          <w:p w:rsidR="00455091" w:rsidRPr="001C6189" w:rsidRDefault="00455091" w:rsidP="00A57231">
            <w:pPr>
              <w:rPr>
                <w:color w:val="FF0000"/>
              </w:rPr>
            </w:pPr>
            <w:r w:rsidRPr="001C6189">
              <w:rPr>
                <w:rFonts w:hint="eastAsia"/>
                <w:color w:val="FF0000"/>
              </w:rPr>
              <w:t>2</w:t>
            </w:r>
            <w:r w:rsidRPr="001C6189">
              <w:rPr>
                <w:color w:val="FF0000"/>
              </w:rPr>
              <w:t xml:space="preserve">58-  </w:t>
            </w:r>
            <w:r w:rsidRPr="001C6189">
              <w:rPr>
                <w:rFonts w:hint="eastAsia"/>
                <w:color w:val="FF0000"/>
              </w:rPr>
              <w:t xml:space="preserve"> </w:t>
            </w:r>
            <w:r w:rsidRPr="001C6189">
              <w:rPr>
                <w:color w:val="FF0000"/>
              </w:rPr>
              <w:t>3</w:t>
            </w: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Cs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Cs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Cs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b/>
                <w:shd w:val="pct15" w:color="auto" w:fill="FFFFFF"/>
              </w:rPr>
            </w:pPr>
          </w:p>
        </w:tc>
      </w:tr>
      <w:tr w:rsidR="00455091" w:rsidRPr="00851CE2" w:rsidTr="00A57231">
        <w:tc>
          <w:tcPr>
            <w:tcW w:w="322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154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140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2520" w:type="dxa"/>
          </w:tcPr>
          <w:p w:rsidR="00455091" w:rsidRPr="00851CE2" w:rsidRDefault="00455091" w:rsidP="00A57231">
            <w:pPr>
              <w:rPr>
                <w:b/>
              </w:rPr>
            </w:pPr>
          </w:p>
        </w:tc>
        <w:tc>
          <w:tcPr>
            <w:tcW w:w="980" w:type="dxa"/>
          </w:tcPr>
          <w:p w:rsidR="00455091" w:rsidRPr="00851CE2" w:rsidRDefault="00455091" w:rsidP="00A57231">
            <w:pPr>
              <w:rPr>
                <w:rFonts w:ascii="Times New Roman"/>
                <w:b/>
                <w:shd w:val="pct15" w:color="auto" w:fill="FFFFFF"/>
              </w:rPr>
            </w:pPr>
          </w:p>
        </w:tc>
      </w:tr>
      <w:tr w:rsidR="00455091" w:rsidRPr="00851CE2" w:rsidTr="00A57231">
        <w:trPr>
          <w:cantSplit/>
        </w:trPr>
        <w:tc>
          <w:tcPr>
            <w:tcW w:w="9660" w:type="dxa"/>
            <w:gridSpan w:val="5"/>
          </w:tcPr>
          <w:p w:rsidR="00455091" w:rsidRPr="00851CE2" w:rsidRDefault="00455091" w:rsidP="00A57231">
            <w:pPr>
              <w:rPr>
                <w:bCs/>
              </w:rPr>
            </w:pPr>
            <w:r w:rsidRPr="00851CE2">
              <w:rPr>
                <w:rFonts w:hint="eastAsia"/>
                <w:bCs/>
              </w:rPr>
              <w:t>說明：</w:t>
            </w:r>
          </w:p>
          <w:p w:rsidR="00455091" w:rsidRPr="00851CE2" w:rsidRDefault="00455091" w:rsidP="00A57231">
            <w:pPr>
              <w:ind w:leftChars="289" w:left="1229" w:rightChars="40" w:right="112" w:hangingChars="150" w:hanging="420"/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(2)本檔案資料內容為1.</w:t>
            </w:r>
            <w:r w:rsidRPr="00851CE2">
              <w:rPr>
                <w:rFonts w:hint="eastAsia"/>
                <w:bCs/>
              </w:rPr>
              <w:t xml:space="preserve"> </w:t>
            </w:r>
            <w:r w:rsidRPr="00851CE2">
              <w:rPr>
                <w:rFonts w:hint="eastAsia"/>
                <w:bCs/>
                <w:u w:val="single"/>
              </w:rPr>
              <w:t>生效日期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  <w:u w:val="single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  <w:u w:val="single"/>
              </w:rPr>
              <w:t>計算結果</w:t>
            </w:r>
            <w:r w:rsidRPr="00851CE2">
              <w:rPr>
                <w:rFonts w:hAnsi="標楷體" w:hint="eastAsia"/>
                <w:bCs/>
                <w:szCs w:val="28"/>
              </w:rPr>
              <w:t>及、2.</w:t>
            </w:r>
            <w:r w:rsidRPr="00851CE2">
              <w:rPr>
                <w:rFonts w:hint="eastAsia"/>
                <w:bCs/>
                <w:u w:val="single"/>
              </w:rPr>
              <w:t xml:space="preserve"> 生效日期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之後的除權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  <w:u w:val="single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  <w:u w:val="single"/>
              </w:rPr>
              <w:t>預告資料</w:t>
            </w:r>
            <w:r w:rsidRPr="00851CE2">
              <w:rPr>
                <w:rFonts w:hAnsi="標楷體" w:hint="eastAsia"/>
                <w:bCs/>
                <w:szCs w:val="28"/>
              </w:rPr>
              <w:t>、3.</w:t>
            </w:r>
            <w:r w:rsidRPr="00851CE2">
              <w:rPr>
                <w:rFonts w:hint="eastAsia"/>
                <w:bCs/>
                <w:u w:val="single"/>
              </w:rPr>
              <w:t>生效日期上</w:t>
            </w:r>
            <w:r w:rsidR="00325D6B">
              <w:rPr>
                <w:rFonts w:hint="eastAsia"/>
                <w:bCs/>
                <w:u w:val="single"/>
              </w:rPr>
              <w:t>櫃</w:t>
            </w:r>
            <w:r w:rsidRPr="00851CE2">
              <w:rPr>
                <w:rFonts w:hint="eastAsia"/>
                <w:bCs/>
                <w:u w:val="single"/>
              </w:rPr>
              <w:t>證券</w:t>
            </w:r>
            <w:r w:rsidRPr="00851CE2">
              <w:rPr>
                <w:rFonts w:hint="eastAsia"/>
                <w:bCs/>
              </w:rPr>
              <w:t>、4.</w:t>
            </w:r>
            <w:r w:rsidRPr="00851CE2">
              <w:rPr>
                <w:rFonts w:hint="eastAsia"/>
                <w:bCs/>
                <w:u w:val="single"/>
              </w:rPr>
              <w:t xml:space="preserve"> 生效日期下</w:t>
            </w:r>
            <w:r w:rsidR="00325D6B">
              <w:rPr>
                <w:rFonts w:hint="eastAsia"/>
                <w:bCs/>
                <w:u w:val="single"/>
              </w:rPr>
              <w:t>櫃</w:t>
            </w:r>
            <w:r w:rsidRPr="00851CE2">
              <w:rPr>
                <w:rFonts w:hint="eastAsia"/>
                <w:bCs/>
                <w:u w:val="single"/>
              </w:rPr>
              <w:t>證券</w:t>
            </w:r>
            <w:r w:rsidRPr="00851CE2">
              <w:rPr>
                <w:rFonts w:hint="eastAsia"/>
                <w:bCs/>
              </w:rPr>
              <w:t>（</w:t>
            </w:r>
            <w:r w:rsidRPr="00851CE2">
              <w:rPr>
                <w:rFonts w:hAnsi="標楷體" w:hint="eastAsia"/>
                <w:bCs/>
                <w:szCs w:val="28"/>
              </w:rPr>
              <w:t>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</w:rPr>
              <w:t>資料僅含普通股及特別股，</w:t>
            </w:r>
            <w:r w:rsidRPr="00851CE2">
              <w:rPr>
                <w:rFonts w:hint="eastAsia"/>
                <w:bCs/>
              </w:rPr>
              <w:t>上下</w:t>
            </w:r>
            <w:r w:rsidR="00325D6B">
              <w:rPr>
                <w:rFonts w:hint="eastAsia"/>
                <w:bCs/>
                <w:u w:val="single"/>
              </w:rPr>
              <w:t>櫃</w:t>
            </w:r>
            <w:r w:rsidRPr="00851CE2">
              <w:rPr>
                <w:rFonts w:hint="eastAsia"/>
                <w:bCs/>
              </w:rPr>
              <w:t>證券</w:t>
            </w:r>
            <w:r w:rsidRPr="00851CE2">
              <w:rPr>
                <w:rFonts w:hAnsi="標楷體" w:hint="eastAsia"/>
                <w:bCs/>
                <w:szCs w:val="28"/>
              </w:rPr>
              <w:t>資料包含所有的商品</w:t>
            </w:r>
            <w:r w:rsidRPr="00851CE2">
              <w:rPr>
                <w:rFonts w:hint="eastAsia"/>
                <w:bCs/>
              </w:rPr>
              <w:t>）</w:t>
            </w:r>
            <w:r w:rsidRPr="00851CE2">
              <w:rPr>
                <w:rFonts w:hAnsi="標楷體" w:hint="eastAsia"/>
                <w:bCs/>
                <w:szCs w:val="28"/>
              </w:rPr>
              <w:t>。</w:t>
            </w:r>
          </w:p>
          <w:p w:rsidR="00455091" w:rsidRPr="00851CE2" w:rsidRDefault="00455091" w:rsidP="00A57231">
            <w:pPr>
              <w:ind w:leftChars="289" w:left="1229" w:rightChars="40" w:right="112" w:hangingChars="150" w:hanging="420"/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(3)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除權</w:t>
            </w:r>
            <w:proofErr w:type="gramStart"/>
            <w:r w:rsidRPr="00851CE2">
              <w:rPr>
                <w:rFonts w:hAnsi="標楷體" w:hint="eastAsia"/>
                <w:bCs/>
                <w:szCs w:val="28"/>
                <w:u w:val="single"/>
              </w:rPr>
              <w:t>息</w:t>
            </w:r>
            <w:proofErr w:type="gramEnd"/>
            <w:r w:rsidRPr="00851CE2">
              <w:rPr>
                <w:rFonts w:hAnsi="標楷體" w:hint="eastAsia"/>
                <w:bCs/>
                <w:szCs w:val="28"/>
                <w:u w:val="single"/>
              </w:rPr>
              <w:t>預告資料</w:t>
            </w:r>
            <w:r w:rsidRPr="00851CE2">
              <w:rPr>
                <w:rFonts w:hAnsi="標楷體" w:hint="eastAsia"/>
                <w:bCs/>
                <w:szCs w:val="28"/>
              </w:rPr>
              <w:t>之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前一日收盤價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除權參考價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漲停價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跌停價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開盤參考價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開盤競價基準</w:t>
            </w:r>
            <w:r w:rsidRPr="00851CE2">
              <w:rPr>
                <w:rFonts w:hAnsi="標楷體" w:hint="eastAsia"/>
                <w:bCs/>
                <w:szCs w:val="28"/>
              </w:rPr>
              <w:t>、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權值</w:t>
            </w:r>
            <w:r w:rsidRPr="00851CE2">
              <w:rPr>
                <w:rFonts w:hAnsi="標楷體" w:hint="eastAsia"/>
                <w:bCs/>
                <w:szCs w:val="28"/>
              </w:rPr>
              <w:t>等欄位内容為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0</w:t>
            </w:r>
            <w:r w:rsidRPr="00851CE2">
              <w:rPr>
                <w:rFonts w:hAnsi="標楷體" w:hint="eastAsia"/>
                <w:bCs/>
                <w:szCs w:val="28"/>
              </w:rPr>
              <w:t>。</w:t>
            </w:r>
          </w:p>
          <w:p w:rsidR="00455091" w:rsidRPr="00851CE2" w:rsidRDefault="00455091" w:rsidP="00A57231">
            <w:pPr>
              <w:ind w:leftChars="289" w:left="1229" w:rightChars="40" w:right="112" w:hangingChars="150" w:hanging="420"/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(4)特別股除權息時此欄位内容為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0</w:t>
            </w:r>
            <w:r w:rsidRPr="00851CE2">
              <w:rPr>
                <w:rFonts w:hAnsi="標楷體" w:hint="eastAsia"/>
                <w:bCs/>
                <w:szCs w:val="28"/>
              </w:rPr>
              <w:t>。</w:t>
            </w:r>
          </w:p>
          <w:p w:rsidR="00455091" w:rsidRPr="00851CE2" w:rsidRDefault="00455091" w:rsidP="00A57231">
            <w:pPr>
              <w:ind w:leftChars="289" w:left="1229" w:rightChars="40" w:right="112" w:hangingChars="150" w:hanging="420"/>
              <w:rPr>
                <w:rFonts w:hAnsi="標楷體"/>
                <w:bCs/>
                <w:szCs w:val="28"/>
              </w:rPr>
            </w:pPr>
            <w:r w:rsidRPr="00851CE2">
              <w:rPr>
                <w:rFonts w:hAnsi="標楷體" w:hint="eastAsia"/>
                <w:bCs/>
                <w:szCs w:val="28"/>
              </w:rPr>
              <w:t>(5)</w:t>
            </w:r>
            <w:r w:rsidR="00325D6B">
              <w:rPr>
                <w:rFonts w:hint="eastAsia"/>
                <w:bCs/>
              </w:rPr>
              <w:t>上下</w:t>
            </w:r>
            <w:r w:rsidR="00325D6B">
              <w:rPr>
                <w:rFonts w:hint="eastAsia"/>
                <w:bCs/>
                <w:u w:val="single"/>
              </w:rPr>
              <w:t>櫃</w:t>
            </w:r>
            <w:r w:rsidRPr="00851CE2">
              <w:rPr>
                <w:rFonts w:hint="eastAsia"/>
                <w:bCs/>
              </w:rPr>
              <w:t>證券</w:t>
            </w:r>
            <w:r w:rsidRPr="00851CE2">
              <w:rPr>
                <w:rFonts w:hAnsi="標楷體" w:hint="eastAsia"/>
                <w:bCs/>
                <w:szCs w:val="28"/>
              </w:rPr>
              <w:t>資料此欄位内容為</w:t>
            </w:r>
            <w:r w:rsidRPr="00851CE2">
              <w:rPr>
                <w:rFonts w:hAnsi="標楷體" w:hint="eastAsia"/>
                <w:bCs/>
                <w:szCs w:val="28"/>
                <w:u w:val="single"/>
              </w:rPr>
              <w:t>0</w:t>
            </w:r>
            <w:r w:rsidRPr="00851CE2">
              <w:rPr>
                <w:rFonts w:hAnsi="標楷體" w:hint="eastAsia"/>
                <w:bCs/>
                <w:szCs w:val="28"/>
              </w:rPr>
              <w:t>。</w:t>
            </w:r>
          </w:p>
          <w:p w:rsidR="00455091" w:rsidRDefault="00455091" w:rsidP="00A57231">
            <w:pPr>
              <w:ind w:leftChars="295" w:left="1246" w:hangingChars="150" w:hanging="420"/>
              <w:rPr>
                <w:rFonts w:hAnsi="標楷體"/>
                <w:szCs w:val="28"/>
              </w:rPr>
            </w:pPr>
            <w:r w:rsidRPr="00851CE2">
              <w:rPr>
                <w:rFonts w:hAnsi="標楷體" w:hint="eastAsia"/>
                <w:szCs w:val="28"/>
              </w:rPr>
              <w:t>(6)權值記號資料此欄位內容為當權值欄位資料為</w:t>
            </w:r>
            <w:r w:rsidRPr="00851CE2">
              <w:rPr>
                <w:rFonts w:hAnsi="標楷體" w:hint="eastAsia"/>
                <w:szCs w:val="28"/>
                <w:u w:val="single"/>
              </w:rPr>
              <w:t>負數</w:t>
            </w:r>
            <w:r w:rsidRPr="00851CE2">
              <w:rPr>
                <w:rFonts w:hAnsi="標楷體" w:hint="eastAsia"/>
                <w:szCs w:val="28"/>
              </w:rPr>
              <w:t>，則權值記號為</w:t>
            </w:r>
            <w:r w:rsidRPr="00851CE2">
              <w:rPr>
                <w:rFonts w:hAnsi="標楷體" w:hint="eastAsia"/>
                <w:b/>
                <w:szCs w:val="28"/>
                <w:u w:val="single"/>
              </w:rPr>
              <w:t>-</w:t>
            </w:r>
            <w:r w:rsidRPr="00851CE2">
              <w:rPr>
                <w:rFonts w:hAnsi="標楷體" w:hint="eastAsia"/>
                <w:szCs w:val="28"/>
              </w:rPr>
              <w:t>，否則權值記號為</w:t>
            </w:r>
            <w:r w:rsidRPr="00851CE2">
              <w:rPr>
                <w:rFonts w:hAnsi="標楷體" w:hint="eastAsia"/>
                <w:b/>
                <w:szCs w:val="28"/>
                <w:u w:val="single"/>
              </w:rPr>
              <w:t>+</w:t>
            </w:r>
            <w:r w:rsidRPr="00851CE2">
              <w:rPr>
                <w:rFonts w:hAnsi="標楷體" w:hint="eastAsia"/>
                <w:szCs w:val="28"/>
              </w:rPr>
              <w:t>。</w:t>
            </w:r>
          </w:p>
          <w:p w:rsidR="00455091" w:rsidRPr="00851CE2" w:rsidRDefault="00455091" w:rsidP="00A57231">
            <w:pPr>
              <w:ind w:leftChars="295" w:left="1246" w:hangingChars="150" w:hanging="420"/>
              <w:rPr>
                <w:bCs/>
              </w:rPr>
            </w:pPr>
            <w:r w:rsidRPr="00F337C7">
              <w:rPr>
                <w:rFonts w:hAnsi="標楷體" w:hint="eastAsia"/>
                <w:color w:val="FF0000"/>
                <w:szCs w:val="28"/>
              </w:rPr>
              <w:t>(</w:t>
            </w:r>
            <w:r w:rsidRPr="00F337C7">
              <w:rPr>
                <w:rFonts w:hAnsi="標楷體"/>
                <w:color w:val="FF0000"/>
                <w:szCs w:val="28"/>
              </w:rPr>
              <w:t>7</w:t>
            </w:r>
            <w:r w:rsidRPr="00F337C7">
              <w:rPr>
                <w:rFonts w:hAnsi="標楷體" w:hint="eastAsia"/>
                <w:color w:val="FF0000"/>
                <w:szCs w:val="28"/>
              </w:rPr>
              <w:t>)自2019/02/18起配合</w:t>
            </w:r>
            <w:r w:rsidRPr="00F337C7">
              <w:rPr>
                <w:rFonts w:hint="eastAsia"/>
                <w:color w:val="FF0000"/>
                <w:kern w:val="0"/>
              </w:rPr>
              <w:t>價格欄位擴充案，檔案長度由240改為260，並修改相關價格欄位由9(4)V9(2)改為9</w:t>
            </w:r>
            <w:r w:rsidRPr="00F337C7">
              <w:rPr>
                <w:color w:val="FF0000"/>
                <w:kern w:val="0"/>
              </w:rPr>
              <w:t>(5)V9(2)</w:t>
            </w:r>
            <w:r w:rsidRPr="00F337C7">
              <w:rPr>
                <w:rFonts w:hint="eastAsia"/>
                <w:color w:val="FF0000"/>
                <w:kern w:val="0"/>
              </w:rPr>
              <w:t>。</w:t>
            </w:r>
          </w:p>
        </w:tc>
      </w:tr>
    </w:tbl>
    <w:p w:rsidR="007677FC" w:rsidRPr="00455091" w:rsidRDefault="007677FC" w:rsidP="00455091"/>
    <w:sectPr w:rsidR="007677FC" w:rsidRPr="00455091" w:rsidSect="002F5151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0C" w:rsidRDefault="000A3B0C" w:rsidP="00455091">
      <w:pPr>
        <w:spacing w:line="240" w:lineRule="auto"/>
      </w:pPr>
      <w:r>
        <w:separator/>
      </w:r>
    </w:p>
  </w:endnote>
  <w:endnote w:type="continuationSeparator" w:id="0">
    <w:p w:rsidR="000A3B0C" w:rsidRDefault="000A3B0C" w:rsidP="00455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0C" w:rsidRDefault="000A3B0C" w:rsidP="00455091">
      <w:pPr>
        <w:spacing w:line="240" w:lineRule="auto"/>
      </w:pPr>
      <w:r>
        <w:separator/>
      </w:r>
    </w:p>
  </w:footnote>
  <w:footnote w:type="continuationSeparator" w:id="0">
    <w:p w:rsidR="000A3B0C" w:rsidRDefault="000A3B0C" w:rsidP="00455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91E"/>
    <w:multiLevelType w:val="hybridMultilevel"/>
    <w:tmpl w:val="B19AD2DC"/>
    <w:lvl w:ilvl="0" w:tplc="A9BE7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945877"/>
    <w:multiLevelType w:val="multilevel"/>
    <w:tmpl w:val="6B96F69C"/>
    <w:lvl w:ilvl="0">
      <w:start w:val="1"/>
      <w:numFmt w:val="ideographLegalTraditional"/>
      <w:pStyle w:val="a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pStyle w:val="m1"/>
      <w:suff w:val="nothing"/>
      <w:lvlText w:val="%2、"/>
      <w:lvlJc w:val="left"/>
      <w:pPr>
        <w:ind w:left="1985" w:hanging="1815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eastAsia="標楷體" w:hint="eastAsia"/>
        <w:b w:val="0"/>
        <w:i w:val="0"/>
        <w:color w:val="000000"/>
        <w:sz w:val="24"/>
      </w:rPr>
    </w:lvl>
    <w:lvl w:ilvl="3">
      <w:start w:val="1"/>
      <w:numFmt w:val="decimal"/>
      <w:suff w:val="nothing"/>
      <w:lvlText w:val="%4、"/>
      <w:lvlJc w:val="left"/>
      <w:pPr>
        <w:ind w:left="1418" w:hanging="141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1134"/>
      </w:pPr>
      <w:rPr>
        <w:rFonts w:eastAsia="標楷體" w:hint="eastAsia"/>
        <w:b w:val="0"/>
        <w:i w:val="0"/>
        <w:sz w:val="24"/>
      </w:rPr>
    </w:lvl>
    <w:lvl w:ilvl="5">
      <w:start w:val="1"/>
      <w:numFmt w:val="upperLetter"/>
      <w:pStyle w:val="A0"/>
      <w:lvlText w:val="%6"/>
      <w:lvlJc w:val="left"/>
      <w:pPr>
        <w:tabs>
          <w:tab w:val="num" w:pos="2835"/>
        </w:tabs>
        <w:ind w:left="2835" w:hanging="624"/>
      </w:pPr>
      <w:rPr>
        <w:rFonts w:eastAsia="標楷體" w:hint="eastAsia"/>
        <w:b w:val="0"/>
        <w:i w:val="0"/>
        <w:sz w:val="28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eastAsia="標楷體" w:hint="eastAsia"/>
        <w:color w:val="000000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eastAsia="標楷體" w:hint="eastAsia"/>
        <w:b w:val="0"/>
        <w:i w:val="0"/>
        <w:sz w:val="28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7563299E"/>
    <w:multiLevelType w:val="hybridMultilevel"/>
    <w:tmpl w:val="994ED308"/>
    <w:lvl w:ilvl="0" w:tplc="AACA948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A"/>
    <w:rsid w:val="00003930"/>
    <w:rsid w:val="000A3B0C"/>
    <w:rsid w:val="002973EB"/>
    <w:rsid w:val="002F5151"/>
    <w:rsid w:val="00325D6B"/>
    <w:rsid w:val="00455091"/>
    <w:rsid w:val="004F5AB6"/>
    <w:rsid w:val="0058735F"/>
    <w:rsid w:val="0061535B"/>
    <w:rsid w:val="00616220"/>
    <w:rsid w:val="0062170A"/>
    <w:rsid w:val="00626A8A"/>
    <w:rsid w:val="006648C8"/>
    <w:rsid w:val="007677FC"/>
    <w:rsid w:val="0086612A"/>
    <w:rsid w:val="009555E1"/>
    <w:rsid w:val="00994A76"/>
    <w:rsid w:val="00B01619"/>
    <w:rsid w:val="00D6173A"/>
    <w:rsid w:val="00E97F16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170A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3">
    <w:name w:val="heading 3"/>
    <w:basedOn w:val="a1"/>
    <w:next w:val="a2"/>
    <w:link w:val="30"/>
    <w:qFormat/>
    <w:rsid w:val="00003930"/>
    <w:pPr>
      <w:ind w:left="1531" w:hanging="482"/>
      <w:outlineLvl w:val="2"/>
    </w:pPr>
    <w:rPr>
      <w:rFonts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1"/>
    <w:link w:val="a7"/>
    <w:semiHidden/>
    <w:rsid w:val="0062170A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7">
    <w:name w:val="純文字 字元"/>
    <w:basedOn w:val="a3"/>
    <w:link w:val="a6"/>
    <w:semiHidden/>
    <w:rsid w:val="0062170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3"/>
    <w:link w:val="3"/>
    <w:rsid w:val="00003930"/>
    <w:rPr>
      <w:rFonts w:ascii="標楷體" w:eastAsia="標楷體" w:hAnsi="Arial" w:cs="Times New Roman"/>
      <w:sz w:val="28"/>
      <w:szCs w:val="20"/>
    </w:rPr>
  </w:style>
  <w:style w:type="paragraph" w:styleId="a2">
    <w:name w:val="Normal Indent"/>
    <w:basedOn w:val="a1"/>
    <w:semiHidden/>
    <w:rsid w:val="00003930"/>
    <w:pPr>
      <w:ind w:left="480"/>
    </w:pPr>
  </w:style>
  <w:style w:type="paragraph" w:styleId="a8">
    <w:name w:val="List Paragraph"/>
    <w:basedOn w:val="a1"/>
    <w:uiPriority w:val="34"/>
    <w:qFormat/>
    <w:rsid w:val="00B01619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styleId="HTML">
    <w:name w:val="HTML Preformatted"/>
    <w:basedOn w:val="a1"/>
    <w:link w:val="HTML0"/>
    <w:semiHidden/>
    <w:rsid w:val="00B01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3"/>
    <w:link w:val="HTML"/>
    <w:semiHidden/>
    <w:rsid w:val="00B01619"/>
    <w:rPr>
      <w:rFonts w:ascii="細明體" w:eastAsia="細明體" w:hAnsi="細明體" w:cs="細明體"/>
      <w:kern w:val="0"/>
      <w:szCs w:val="24"/>
    </w:rPr>
  </w:style>
  <w:style w:type="paragraph" w:styleId="a">
    <w:name w:val="Body Text Indent"/>
    <w:basedOn w:val="a1"/>
    <w:link w:val="a9"/>
    <w:semiHidden/>
    <w:rsid w:val="00B01619"/>
    <w:pPr>
      <w:numPr>
        <w:numId w:val="1"/>
      </w:numPr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9">
    <w:name w:val="本文縮排 字元"/>
    <w:basedOn w:val="a3"/>
    <w:link w:val="a"/>
    <w:semiHidden/>
    <w:rsid w:val="00B01619"/>
    <w:rPr>
      <w:rFonts w:ascii="Times New Roman" w:eastAsia="新細明體" w:hAnsi="Times New Roman" w:cs="Times New Roman"/>
      <w:szCs w:val="24"/>
    </w:rPr>
  </w:style>
  <w:style w:type="paragraph" w:customStyle="1" w:styleId="A0">
    <w:name w:val="樣式A"/>
    <w:basedOn w:val="a1"/>
    <w:rsid w:val="00B01619"/>
    <w:pPr>
      <w:numPr>
        <w:ilvl w:val="5"/>
        <w:numId w:val="1"/>
      </w:numPr>
      <w:tabs>
        <w:tab w:val="clear" w:pos="2835"/>
      </w:tabs>
      <w:snapToGrid/>
      <w:spacing w:line="240" w:lineRule="auto"/>
      <w:ind w:left="0" w:firstLine="0"/>
      <w:jc w:val="left"/>
    </w:pPr>
    <w:rPr>
      <w:rFonts w:ascii="Times New Roman" w:eastAsia="新細明體"/>
      <w:sz w:val="24"/>
      <w:szCs w:val="24"/>
    </w:rPr>
  </w:style>
  <w:style w:type="paragraph" w:customStyle="1" w:styleId="m1">
    <w:name w:val="m1"/>
    <w:basedOn w:val="a1"/>
    <w:rsid w:val="00B01619"/>
    <w:pPr>
      <w:numPr>
        <w:ilvl w:val="1"/>
        <w:numId w:val="1"/>
      </w:numPr>
      <w:tabs>
        <w:tab w:val="num" w:pos="2835"/>
      </w:tabs>
      <w:snapToGrid/>
      <w:spacing w:line="240" w:lineRule="auto"/>
      <w:ind w:left="2835" w:hanging="624"/>
      <w:jc w:val="left"/>
    </w:pPr>
    <w:rPr>
      <w:rFonts w:ascii="Times New Roman" w:eastAsia="新細明體"/>
      <w:sz w:val="24"/>
      <w:szCs w:val="24"/>
    </w:rPr>
  </w:style>
  <w:style w:type="paragraph" w:styleId="aa">
    <w:name w:val="header"/>
    <w:basedOn w:val="a1"/>
    <w:link w:val="ab"/>
    <w:uiPriority w:val="99"/>
    <w:unhideWhenUsed/>
    <w:rsid w:val="00455091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3"/>
    <w:link w:val="aa"/>
    <w:uiPriority w:val="99"/>
    <w:rsid w:val="00455091"/>
    <w:rPr>
      <w:rFonts w:ascii="標楷體" w:eastAsia="標楷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455091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3"/>
    <w:link w:val="ac"/>
    <w:uiPriority w:val="99"/>
    <w:rsid w:val="00455091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170A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3">
    <w:name w:val="heading 3"/>
    <w:basedOn w:val="a1"/>
    <w:next w:val="a2"/>
    <w:link w:val="30"/>
    <w:qFormat/>
    <w:rsid w:val="00003930"/>
    <w:pPr>
      <w:ind w:left="1531" w:hanging="482"/>
      <w:outlineLvl w:val="2"/>
    </w:pPr>
    <w:rPr>
      <w:rFonts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1"/>
    <w:link w:val="a7"/>
    <w:semiHidden/>
    <w:rsid w:val="0062170A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7">
    <w:name w:val="純文字 字元"/>
    <w:basedOn w:val="a3"/>
    <w:link w:val="a6"/>
    <w:semiHidden/>
    <w:rsid w:val="0062170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3"/>
    <w:link w:val="3"/>
    <w:rsid w:val="00003930"/>
    <w:rPr>
      <w:rFonts w:ascii="標楷體" w:eastAsia="標楷體" w:hAnsi="Arial" w:cs="Times New Roman"/>
      <w:sz w:val="28"/>
      <w:szCs w:val="20"/>
    </w:rPr>
  </w:style>
  <w:style w:type="paragraph" w:styleId="a2">
    <w:name w:val="Normal Indent"/>
    <w:basedOn w:val="a1"/>
    <w:semiHidden/>
    <w:rsid w:val="00003930"/>
    <w:pPr>
      <w:ind w:left="480"/>
    </w:pPr>
  </w:style>
  <w:style w:type="paragraph" w:styleId="a8">
    <w:name w:val="List Paragraph"/>
    <w:basedOn w:val="a1"/>
    <w:uiPriority w:val="34"/>
    <w:qFormat/>
    <w:rsid w:val="00B01619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styleId="HTML">
    <w:name w:val="HTML Preformatted"/>
    <w:basedOn w:val="a1"/>
    <w:link w:val="HTML0"/>
    <w:semiHidden/>
    <w:rsid w:val="00B01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3"/>
    <w:link w:val="HTML"/>
    <w:semiHidden/>
    <w:rsid w:val="00B01619"/>
    <w:rPr>
      <w:rFonts w:ascii="細明體" w:eastAsia="細明體" w:hAnsi="細明體" w:cs="細明體"/>
      <w:kern w:val="0"/>
      <w:szCs w:val="24"/>
    </w:rPr>
  </w:style>
  <w:style w:type="paragraph" w:styleId="a">
    <w:name w:val="Body Text Indent"/>
    <w:basedOn w:val="a1"/>
    <w:link w:val="a9"/>
    <w:semiHidden/>
    <w:rsid w:val="00B01619"/>
    <w:pPr>
      <w:numPr>
        <w:numId w:val="1"/>
      </w:numPr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9">
    <w:name w:val="本文縮排 字元"/>
    <w:basedOn w:val="a3"/>
    <w:link w:val="a"/>
    <w:semiHidden/>
    <w:rsid w:val="00B01619"/>
    <w:rPr>
      <w:rFonts w:ascii="Times New Roman" w:eastAsia="新細明體" w:hAnsi="Times New Roman" w:cs="Times New Roman"/>
      <w:szCs w:val="24"/>
    </w:rPr>
  </w:style>
  <w:style w:type="paragraph" w:customStyle="1" w:styleId="A0">
    <w:name w:val="樣式A"/>
    <w:basedOn w:val="a1"/>
    <w:rsid w:val="00B01619"/>
    <w:pPr>
      <w:numPr>
        <w:ilvl w:val="5"/>
        <w:numId w:val="1"/>
      </w:numPr>
      <w:tabs>
        <w:tab w:val="clear" w:pos="2835"/>
      </w:tabs>
      <w:snapToGrid/>
      <w:spacing w:line="240" w:lineRule="auto"/>
      <w:ind w:left="0" w:firstLine="0"/>
      <w:jc w:val="left"/>
    </w:pPr>
    <w:rPr>
      <w:rFonts w:ascii="Times New Roman" w:eastAsia="新細明體"/>
      <w:sz w:val="24"/>
      <w:szCs w:val="24"/>
    </w:rPr>
  </w:style>
  <w:style w:type="paragraph" w:customStyle="1" w:styleId="m1">
    <w:name w:val="m1"/>
    <w:basedOn w:val="a1"/>
    <w:rsid w:val="00B01619"/>
    <w:pPr>
      <w:numPr>
        <w:ilvl w:val="1"/>
        <w:numId w:val="1"/>
      </w:numPr>
      <w:tabs>
        <w:tab w:val="num" w:pos="2835"/>
      </w:tabs>
      <w:snapToGrid/>
      <w:spacing w:line="240" w:lineRule="auto"/>
      <w:ind w:left="2835" w:hanging="624"/>
      <w:jc w:val="left"/>
    </w:pPr>
    <w:rPr>
      <w:rFonts w:ascii="Times New Roman" w:eastAsia="新細明體"/>
      <w:sz w:val="24"/>
      <w:szCs w:val="24"/>
    </w:rPr>
  </w:style>
  <w:style w:type="paragraph" w:styleId="aa">
    <w:name w:val="header"/>
    <w:basedOn w:val="a1"/>
    <w:link w:val="ab"/>
    <w:uiPriority w:val="99"/>
    <w:unhideWhenUsed/>
    <w:rsid w:val="00455091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3"/>
    <w:link w:val="aa"/>
    <w:uiPriority w:val="99"/>
    <w:rsid w:val="00455091"/>
    <w:rPr>
      <w:rFonts w:ascii="標楷體" w:eastAsia="標楷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455091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3"/>
    <w:link w:val="ac"/>
    <w:uiPriority w:val="99"/>
    <w:rsid w:val="0045509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鄭明哲</dc:creator>
  <cp:lastModifiedBy>鄭明哲</cp:lastModifiedBy>
  <cp:revision>2</cp:revision>
  <dcterms:created xsi:type="dcterms:W3CDTF">2018-10-19T07:20:00Z</dcterms:created>
  <dcterms:modified xsi:type="dcterms:W3CDTF">2018-10-19T07:20:00Z</dcterms:modified>
</cp:coreProperties>
</file>