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B4AEB" w14:textId="77777777" w:rsidR="00A114C3" w:rsidRPr="002B7EB7" w:rsidRDefault="00A114C3" w:rsidP="00A114C3">
      <w:pPr>
        <w:spacing w:line="400" w:lineRule="atLeast"/>
        <w:ind w:left="-630" w:firstLine="630"/>
        <w:rPr>
          <w:rFonts w:eastAsia="標楷體"/>
          <w:bCs/>
          <w:color w:val="000000" w:themeColor="text1"/>
        </w:rPr>
      </w:pPr>
      <w:r w:rsidRPr="002B7EB7">
        <w:rPr>
          <w:rFonts w:eastAsia="標楷體"/>
          <w:bCs/>
          <w:color w:val="000000" w:themeColor="text1"/>
        </w:rPr>
        <w:t>附表七之一、議約型認購</w:t>
      </w:r>
      <w:r w:rsidRPr="002B7EB7">
        <w:rPr>
          <w:rFonts w:eastAsia="標楷體"/>
          <w:bCs/>
          <w:color w:val="000000" w:themeColor="text1"/>
        </w:rPr>
        <w:t>(</w:t>
      </w:r>
      <w:r w:rsidRPr="002B7EB7">
        <w:rPr>
          <w:rFonts w:eastAsia="標楷體"/>
          <w:bCs/>
          <w:color w:val="000000" w:themeColor="text1"/>
        </w:rPr>
        <w:t>售</w:t>
      </w:r>
      <w:r w:rsidRPr="002B7EB7">
        <w:rPr>
          <w:rFonts w:eastAsia="標楷體"/>
          <w:bCs/>
          <w:color w:val="000000" w:themeColor="text1"/>
        </w:rPr>
        <w:t>)</w:t>
      </w:r>
      <w:r w:rsidRPr="002B7EB7">
        <w:rPr>
          <w:rFonts w:eastAsia="標楷體"/>
          <w:bCs/>
          <w:color w:val="000000" w:themeColor="text1"/>
        </w:rPr>
        <w:t>權證交易契約檢查表</w:t>
      </w:r>
    </w:p>
    <w:p w14:paraId="0105EA73" w14:textId="77777777" w:rsidR="00A114C3" w:rsidRPr="002B7EB7" w:rsidRDefault="00A114C3" w:rsidP="00A114C3">
      <w:pPr>
        <w:spacing w:line="400" w:lineRule="atLeast"/>
        <w:ind w:left="-1" w:firstLine="1"/>
        <w:jc w:val="both"/>
        <w:rPr>
          <w:rFonts w:eastAsia="標楷體"/>
          <w:bCs/>
          <w:color w:val="000000" w:themeColor="text1"/>
        </w:rPr>
      </w:pPr>
      <w:r w:rsidRPr="002B7EB7">
        <w:rPr>
          <w:rFonts w:eastAsia="標楷體"/>
          <w:bCs/>
          <w:color w:val="000000" w:themeColor="text1"/>
        </w:rPr>
        <w:t>申請機構名稱：</w:t>
      </w:r>
      <w:r w:rsidRPr="002B7EB7">
        <w:rPr>
          <w:rFonts w:eastAsia="標楷體"/>
          <w:bCs/>
          <w:color w:val="000000" w:themeColor="text1"/>
        </w:rPr>
        <w:t xml:space="preserve">       </w:t>
      </w:r>
      <w:r w:rsidRPr="002B7EB7">
        <w:rPr>
          <w:rFonts w:eastAsia="標楷體"/>
          <w:bCs/>
          <w:color w:val="000000" w:themeColor="text1"/>
        </w:rPr>
        <w:t>證券股份有限公司</w:t>
      </w:r>
    </w:p>
    <w:p w14:paraId="5AFFF66C" w14:textId="77777777" w:rsidR="00A114C3" w:rsidRPr="002B7EB7" w:rsidRDefault="00A114C3" w:rsidP="00A114C3">
      <w:pPr>
        <w:spacing w:line="400" w:lineRule="atLeast"/>
        <w:ind w:left="-1" w:firstLine="1"/>
        <w:jc w:val="both"/>
        <w:rPr>
          <w:rFonts w:eastAsia="標楷體"/>
          <w:bCs/>
          <w:color w:val="000000" w:themeColor="text1"/>
        </w:rPr>
      </w:pPr>
      <w:r w:rsidRPr="002B7EB7">
        <w:rPr>
          <w:rFonts w:eastAsia="標楷體"/>
          <w:bCs/>
          <w:color w:val="000000" w:themeColor="text1"/>
        </w:rPr>
        <w:t>收文日期：</w:t>
      </w:r>
      <w:r w:rsidRPr="002B7EB7">
        <w:rPr>
          <w:rFonts w:eastAsia="標楷體"/>
          <w:bCs/>
          <w:color w:val="000000" w:themeColor="text1"/>
        </w:rPr>
        <w:t xml:space="preserve">    </w:t>
      </w:r>
      <w:r w:rsidRPr="002B7EB7">
        <w:rPr>
          <w:rFonts w:eastAsia="標楷體"/>
          <w:bCs/>
          <w:color w:val="000000" w:themeColor="text1"/>
        </w:rPr>
        <w:t>年</w:t>
      </w:r>
      <w:r w:rsidRPr="002B7EB7">
        <w:rPr>
          <w:rFonts w:eastAsia="標楷體"/>
          <w:bCs/>
          <w:color w:val="000000" w:themeColor="text1"/>
        </w:rPr>
        <w:t xml:space="preserve">    </w:t>
      </w:r>
      <w:r w:rsidRPr="002B7EB7">
        <w:rPr>
          <w:rFonts w:eastAsia="標楷體"/>
          <w:bCs/>
          <w:color w:val="000000" w:themeColor="text1"/>
        </w:rPr>
        <w:t>月</w:t>
      </w:r>
      <w:r w:rsidRPr="002B7EB7">
        <w:rPr>
          <w:rFonts w:eastAsia="標楷體"/>
          <w:bCs/>
          <w:color w:val="000000" w:themeColor="text1"/>
        </w:rPr>
        <w:t xml:space="preserve">    </w:t>
      </w:r>
      <w:r w:rsidRPr="002B7EB7">
        <w:rPr>
          <w:rFonts w:eastAsia="標楷體"/>
          <w:bCs/>
          <w:color w:val="000000" w:themeColor="text1"/>
        </w:rPr>
        <w:t>日</w:t>
      </w:r>
      <w:r w:rsidRPr="002B7EB7">
        <w:rPr>
          <w:rFonts w:eastAsia="標楷體"/>
          <w:bCs/>
          <w:color w:val="000000" w:themeColor="text1"/>
        </w:rPr>
        <w:t xml:space="preserve">     </w:t>
      </w:r>
      <w:r w:rsidRPr="002B7EB7">
        <w:rPr>
          <w:rFonts w:eastAsia="標楷體"/>
          <w:bCs/>
          <w:color w:val="000000" w:themeColor="text1"/>
        </w:rPr>
        <w:t xml:space="preserve">　　　　</w:t>
      </w:r>
      <w:r w:rsidRPr="002B7EB7">
        <w:rPr>
          <w:rFonts w:eastAsia="標楷體"/>
          <w:bCs/>
          <w:color w:val="000000" w:themeColor="text1"/>
        </w:rPr>
        <w:t xml:space="preserve">   </w:t>
      </w:r>
      <w:r w:rsidRPr="002B7EB7">
        <w:rPr>
          <w:rFonts w:eastAsia="標楷體"/>
          <w:bCs/>
          <w:color w:val="000000" w:themeColor="text1"/>
        </w:rPr>
        <w:t>收文字號：第</w:t>
      </w:r>
      <w:r w:rsidRPr="002B7EB7">
        <w:rPr>
          <w:rFonts w:eastAsia="標楷體"/>
          <w:bCs/>
          <w:color w:val="000000" w:themeColor="text1"/>
        </w:rPr>
        <w:t xml:space="preserve">        </w:t>
      </w:r>
      <w:r w:rsidRPr="002B7EB7">
        <w:rPr>
          <w:rFonts w:eastAsia="標楷體"/>
          <w:bCs/>
          <w:color w:val="000000" w:themeColor="text1"/>
        </w:rPr>
        <w:t>號</w:t>
      </w:r>
    </w:p>
    <w:p w14:paraId="289D735D" w14:textId="77777777" w:rsidR="00A114C3" w:rsidRPr="002B7EB7" w:rsidRDefault="00A114C3" w:rsidP="00A114C3">
      <w:pPr>
        <w:spacing w:line="400" w:lineRule="atLeast"/>
        <w:ind w:left="-1" w:firstLine="1"/>
        <w:jc w:val="both"/>
        <w:rPr>
          <w:rFonts w:eastAsia="標楷體"/>
          <w:bCs/>
          <w:color w:val="000000" w:themeColor="text1"/>
        </w:rPr>
      </w:pPr>
      <w:r w:rsidRPr="002B7EB7">
        <w:rPr>
          <w:rFonts w:eastAsia="標楷體"/>
          <w:bCs/>
          <w:color w:val="000000" w:themeColor="text1"/>
        </w:rPr>
        <w:t>承辦人：</w:t>
      </w:r>
      <w:r w:rsidRPr="002B7EB7">
        <w:rPr>
          <w:rFonts w:eastAsia="標楷體"/>
          <w:bCs/>
          <w:color w:val="000000" w:themeColor="text1"/>
        </w:rPr>
        <w:t xml:space="preserve">                                    </w:t>
      </w:r>
      <w:r w:rsidRPr="002B7EB7">
        <w:rPr>
          <w:rFonts w:eastAsia="標楷體"/>
          <w:bCs/>
          <w:color w:val="000000" w:themeColor="text1"/>
        </w:rPr>
        <w:t>填表日期：</w:t>
      </w:r>
    </w:p>
    <w:tbl>
      <w:tblPr>
        <w:tblW w:w="10080" w:type="dxa"/>
        <w:tblInd w:w="-735" w:type="dxa"/>
        <w:tblLayout w:type="fixed"/>
        <w:tblCellMar>
          <w:left w:w="10" w:type="dxa"/>
          <w:right w:w="10" w:type="dxa"/>
        </w:tblCellMar>
        <w:tblLook w:val="0000" w:firstRow="0" w:lastRow="0" w:firstColumn="0" w:lastColumn="0" w:noHBand="0" w:noVBand="0"/>
      </w:tblPr>
      <w:tblGrid>
        <w:gridCol w:w="6840"/>
        <w:gridCol w:w="1620"/>
        <w:gridCol w:w="1620"/>
      </w:tblGrid>
      <w:tr w:rsidR="00A114C3" w:rsidRPr="002B7EB7" w14:paraId="4853E9B5" w14:textId="77777777" w:rsidTr="002A0B90">
        <w:trPr>
          <w:trHeight w:val="529"/>
          <w:tblHeader/>
        </w:trPr>
        <w:tc>
          <w:tcPr>
            <w:tcW w:w="6840" w:type="dxa"/>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3B5F8BD4" w14:textId="77777777" w:rsidR="00A114C3" w:rsidRPr="002B7EB7" w:rsidRDefault="00A114C3" w:rsidP="002A0B90">
            <w:pPr>
              <w:autoSpaceDE w:val="0"/>
              <w:snapToGrid w:val="0"/>
              <w:spacing w:line="400" w:lineRule="atLeast"/>
              <w:jc w:val="center"/>
              <w:rPr>
                <w:rFonts w:eastAsia="標楷體"/>
                <w:bCs/>
                <w:color w:val="000000" w:themeColor="text1"/>
              </w:rPr>
            </w:pPr>
            <w:r w:rsidRPr="002B7EB7">
              <w:rPr>
                <w:rFonts w:eastAsia="標楷體"/>
                <w:bCs/>
                <w:color w:val="000000" w:themeColor="text1"/>
              </w:rPr>
              <w:t>檢查項目</w:t>
            </w:r>
          </w:p>
        </w:tc>
        <w:tc>
          <w:tcPr>
            <w:tcW w:w="1620" w:type="dxa"/>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B842413" w14:textId="77777777" w:rsidR="00A114C3" w:rsidRPr="002B7EB7" w:rsidRDefault="00A114C3" w:rsidP="002A0B90">
            <w:pPr>
              <w:tabs>
                <w:tab w:val="left" w:pos="5220"/>
              </w:tabs>
              <w:snapToGrid w:val="0"/>
              <w:spacing w:line="400" w:lineRule="atLeast"/>
              <w:jc w:val="center"/>
              <w:rPr>
                <w:color w:val="000000" w:themeColor="text1"/>
              </w:rPr>
            </w:pPr>
            <w:r w:rsidRPr="002B7EB7">
              <w:rPr>
                <w:rFonts w:eastAsia="標楷體"/>
                <w:color w:val="000000" w:themeColor="text1"/>
                <w:szCs w:val="24"/>
              </w:rPr>
              <w:t>申請機構</w:t>
            </w:r>
            <w:r w:rsidRPr="002B7EB7">
              <w:rPr>
                <w:rFonts w:eastAsia="標楷體"/>
                <w:bCs/>
                <w:color w:val="000000" w:themeColor="text1"/>
                <w:sz w:val="22"/>
              </w:rPr>
              <w:t>填報</w:t>
            </w:r>
          </w:p>
        </w:tc>
        <w:tc>
          <w:tcPr>
            <w:tcW w:w="1620" w:type="dxa"/>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768C17E" w14:textId="77777777" w:rsidR="00A114C3" w:rsidRPr="002B7EB7" w:rsidRDefault="00A114C3" w:rsidP="002A0B90">
            <w:pPr>
              <w:snapToGrid w:val="0"/>
              <w:jc w:val="center"/>
              <w:rPr>
                <w:rFonts w:eastAsia="標楷體"/>
                <w:bCs/>
                <w:color w:val="000000" w:themeColor="text1"/>
                <w:sz w:val="22"/>
              </w:rPr>
            </w:pPr>
            <w:r w:rsidRPr="002B7EB7">
              <w:rPr>
                <w:rFonts w:eastAsia="標楷體"/>
                <w:bCs/>
                <w:color w:val="000000" w:themeColor="text1"/>
                <w:sz w:val="22"/>
              </w:rPr>
              <w:t>櫃買中心</w:t>
            </w:r>
          </w:p>
          <w:p w14:paraId="08D401C0" w14:textId="77777777" w:rsidR="00A114C3" w:rsidRPr="002B7EB7" w:rsidRDefault="00A114C3" w:rsidP="002A0B90">
            <w:pPr>
              <w:snapToGrid w:val="0"/>
              <w:spacing w:line="360" w:lineRule="atLeast"/>
              <w:jc w:val="center"/>
              <w:rPr>
                <w:rFonts w:eastAsia="標楷體"/>
                <w:bCs/>
                <w:color w:val="000000" w:themeColor="text1"/>
                <w:sz w:val="22"/>
              </w:rPr>
            </w:pPr>
            <w:r w:rsidRPr="002B7EB7">
              <w:rPr>
                <w:rFonts w:eastAsia="標楷體"/>
                <w:bCs/>
                <w:color w:val="000000" w:themeColor="text1"/>
                <w:sz w:val="22"/>
              </w:rPr>
              <w:t>審查意見</w:t>
            </w:r>
          </w:p>
        </w:tc>
      </w:tr>
      <w:tr w:rsidR="00A114C3" w:rsidRPr="002B7EB7" w14:paraId="5628A9C3" w14:textId="77777777" w:rsidTr="002A0B90">
        <w:trPr>
          <w:trHeight w:val="1135"/>
        </w:trPr>
        <w:tc>
          <w:tcPr>
            <w:tcW w:w="684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56399F1E" w14:textId="77777777" w:rsidR="00A114C3" w:rsidRPr="002B7EB7" w:rsidRDefault="00A114C3" w:rsidP="00A114C3">
            <w:pPr>
              <w:numPr>
                <w:ilvl w:val="0"/>
                <w:numId w:val="1"/>
              </w:numPr>
              <w:suppressAutoHyphens/>
              <w:autoSpaceDE w:val="0"/>
              <w:autoSpaceDN w:val="0"/>
              <w:spacing w:line="400" w:lineRule="atLeast"/>
              <w:ind w:right="152"/>
              <w:jc w:val="both"/>
              <w:textAlignment w:val="baseline"/>
              <w:rPr>
                <w:rFonts w:eastAsia="標楷體"/>
                <w:bCs/>
                <w:color w:val="000000" w:themeColor="text1"/>
              </w:rPr>
            </w:pPr>
            <w:r w:rsidRPr="002B7EB7">
              <w:rPr>
                <w:rFonts w:eastAsia="標楷體"/>
                <w:bCs/>
                <w:color w:val="000000" w:themeColor="text1"/>
              </w:rPr>
              <w:t>證券商是否取得資格認可且無暫停發行資格</w:t>
            </w:r>
          </w:p>
          <w:p w14:paraId="7B9A1DFB" w14:textId="77777777" w:rsidR="00A114C3" w:rsidRPr="002B7EB7" w:rsidRDefault="00A114C3" w:rsidP="00A114C3">
            <w:pPr>
              <w:numPr>
                <w:ilvl w:val="0"/>
                <w:numId w:val="2"/>
              </w:numPr>
              <w:tabs>
                <w:tab w:val="left" w:pos="-1200"/>
                <w:tab w:val="left" w:pos="32"/>
                <w:tab w:val="left" w:pos="720"/>
                <w:tab w:val="left" w:pos="1680"/>
                <w:tab w:val="left" w:pos="2640"/>
                <w:tab w:val="left" w:pos="3600"/>
                <w:tab w:val="left" w:pos="4560"/>
                <w:tab w:val="left" w:pos="5520"/>
                <w:tab w:val="left" w:pos="6480"/>
                <w:tab w:val="left" w:pos="7440"/>
                <w:tab w:val="left" w:pos="8400"/>
                <w:tab w:val="left" w:pos="9360"/>
                <w:tab w:val="left" w:pos="10320"/>
                <w:tab w:val="left" w:pos="11280"/>
                <w:tab w:val="left" w:pos="12240"/>
                <w:tab w:val="left" w:pos="13200"/>
                <w:tab w:val="left" w:pos="14160"/>
                <w:tab w:val="left" w:pos="15120"/>
                <w:tab w:val="left" w:pos="16080"/>
              </w:tabs>
              <w:suppressAutoHyphens/>
              <w:autoSpaceDE w:val="0"/>
              <w:autoSpaceDN w:val="0"/>
              <w:spacing w:line="400" w:lineRule="atLeast"/>
              <w:ind w:right="152"/>
              <w:jc w:val="both"/>
              <w:textAlignment w:val="baseline"/>
              <w:rPr>
                <w:rFonts w:eastAsia="標楷體"/>
                <w:bCs/>
                <w:color w:val="000000" w:themeColor="text1"/>
              </w:rPr>
            </w:pPr>
            <w:r w:rsidRPr="002B7EB7">
              <w:rPr>
                <w:rFonts w:eastAsia="標楷體"/>
                <w:bCs/>
                <w:color w:val="000000" w:themeColor="text1"/>
              </w:rPr>
              <w:t>取得資格認可時間及是否無暫停發行資格之情事。</w:t>
            </w:r>
          </w:p>
          <w:p w14:paraId="627D2F73" w14:textId="77777777" w:rsidR="00A114C3" w:rsidRPr="002B7EB7" w:rsidRDefault="00A114C3" w:rsidP="00A114C3">
            <w:pPr>
              <w:numPr>
                <w:ilvl w:val="0"/>
                <w:numId w:val="2"/>
              </w:numPr>
              <w:tabs>
                <w:tab w:val="left" w:pos="-1200"/>
                <w:tab w:val="left" w:pos="32"/>
                <w:tab w:val="left" w:pos="720"/>
                <w:tab w:val="left" w:pos="1680"/>
                <w:tab w:val="left" w:pos="2640"/>
                <w:tab w:val="left" w:pos="3600"/>
                <w:tab w:val="left" w:pos="4560"/>
                <w:tab w:val="left" w:pos="5520"/>
                <w:tab w:val="left" w:pos="6480"/>
                <w:tab w:val="left" w:pos="7440"/>
                <w:tab w:val="left" w:pos="8400"/>
                <w:tab w:val="left" w:pos="9360"/>
                <w:tab w:val="left" w:pos="10320"/>
                <w:tab w:val="left" w:pos="11280"/>
                <w:tab w:val="left" w:pos="12240"/>
                <w:tab w:val="left" w:pos="13200"/>
                <w:tab w:val="left" w:pos="14160"/>
                <w:tab w:val="left" w:pos="15120"/>
                <w:tab w:val="left" w:pos="16080"/>
              </w:tabs>
              <w:suppressAutoHyphens/>
              <w:autoSpaceDE w:val="0"/>
              <w:autoSpaceDN w:val="0"/>
              <w:spacing w:line="400" w:lineRule="atLeast"/>
              <w:ind w:right="152"/>
              <w:jc w:val="both"/>
              <w:textAlignment w:val="baseline"/>
              <w:rPr>
                <w:rFonts w:eastAsia="標楷體"/>
                <w:bCs/>
                <w:color w:val="000000" w:themeColor="text1"/>
              </w:rPr>
            </w:pPr>
            <w:r w:rsidRPr="002B7EB7">
              <w:rPr>
                <w:rFonts w:eastAsia="標楷體"/>
                <w:bCs/>
                <w:color w:val="000000" w:themeColor="text1"/>
              </w:rPr>
              <w:t>股東權益及財務報告是否符合本中心證券商營業處所買賣認購（售）權證審查準則第四條第二項第一、二款規定。</w:t>
            </w:r>
          </w:p>
          <w:p w14:paraId="779245FC" w14:textId="77777777" w:rsidR="00A114C3" w:rsidRPr="002B7EB7" w:rsidRDefault="00A114C3" w:rsidP="00A114C3">
            <w:pPr>
              <w:numPr>
                <w:ilvl w:val="0"/>
                <w:numId w:val="2"/>
              </w:numPr>
              <w:tabs>
                <w:tab w:val="left" w:pos="-1200"/>
                <w:tab w:val="left" w:pos="32"/>
                <w:tab w:val="left" w:pos="720"/>
                <w:tab w:val="left" w:pos="1680"/>
                <w:tab w:val="left" w:pos="2640"/>
                <w:tab w:val="left" w:pos="3600"/>
                <w:tab w:val="left" w:pos="4560"/>
                <w:tab w:val="left" w:pos="5520"/>
                <w:tab w:val="left" w:pos="6480"/>
                <w:tab w:val="left" w:pos="7440"/>
                <w:tab w:val="left" w:pos="8400"/>
                <w:tab w:val="left" w:pos="9360"/>
                <w:tab w:val="left" w:pos="10320"/>
                <w:tab w:val="left" w:pos="11280"/>
                <w:tab w:val="left" w:pos="12240"/>
                <w:tab w:val="left" w:pos="13200"/>
                <w:tab w:val="left" w:pos="14160"/>
                <w:tab w:val="left" w:pos="15120"/>
                <w:tab w:val="left" w:pos="16080"/>
              </w:tabs>
              <w:suppressAutoHyphens/>
              <w:autoSpaceDE w:val="0"/>
              <w:autoSpaceDN w:val="0"/>
              <w:spacing w:line="400" w:lineRule="atLeast"/>
              <w:ind w:right="152"/>
              <w:jc w:val="both"/>
              <w:textAlignment w:val="baseline"/>
              <w:rPr>
                <w:rFonts w:eastAsia="標楷體"/>
                <w:bCs/>
                <w:color w:val="000000" w:themeColor="text1"/>
              </w:rPr>
            </w:pPr>
            <w:r w:rsidRPr="002B7EB7">
              <w:rPr>
                <w:rFonts w:eastAsia="標楷體"/>
                <w:bCs/>
                <w:color w:val="000000" w:themeColor="text1"/>
              </w:rPr>
              <w:t>申請日最近期自有資本適足比率是否未低於百分之一百五十，且前連續三個月自有資本適足比率是否均低於百分之二百。</w:t>
            </w:r>
          </w:p>
          <w:p w14:paraId="4193D460" w14:textId="77777777" w:rsidR="00A114C3" w:rsidRPr="002B7EB7" w:rsidRDefault="00A114C3" w:rsidP="00A114C3">
            <w:pPr>
              <w:numPr>
                <w:ilvl w:val="0"/>
                <w:numId w:val="2"/>
              </w:numPr>
              <w:tabs>
                <w:tab w:val="left" w:pos="-1200"/>
                <w:tab w:val="left" w:pos="32"/>
                <w:tab w:val="left" w:pos="720"/>
                <w:tab w:val="left" w:pos="1680"/>
                <w:tab w:val="left" w:pos="2640"/>
                <w:tab w:val="left" w:pos="3600"/>
                <w:tab w:val="left" w:pos="4560"/>
                <w:tab w:val="left" w:pos="5520"/>
                <w:tab w:val="left" w:pos="6480"/>
                <w:tab w:val="left" w:pos="7440"/>
                <w:tab w:val="left" w:pos="8400"/>
                <w:tab w:val="left" w:pos="9360"/>
                <w:tab w:val="left" w:pos="10320"/>
                <w:tab w:val="left" w:pos="11280"/>
                <w:tab w:val="left" w:pos="12240"/>
                <w:tab w:val="left" w:pos="13200"/>
                <w:tab w:val="left" w:pos="14160"/>
                <w:tab w:val="left" w:pos="15120"/>
                <w:tab w:val="left" w:pos="16080"/>
              </w:tabs>
              <w:suppressAutoHyphens/>
              <w:autoSpaceDE w:val="0"/>
              <w:autoSpaceDN w:val="0"/>
              <w:spacing w:line="400" w:lineRule="atLeast"/>
              <w:ind w:right="152"/>
              <w:jc w:val="both"/>
              <w:textAlignment w:val="baseline"/>
              <w:rPr>
                <w:rFonts w:eastAsia="標楷體"/>
                <w:bCs/>
                <w:color w:val="000000" w:themeColor="text1"/>
              </w:rPr>
            </w:pPr>
            <w:r w:rsidRPr="002B7EB7">
              <w:rPr>
                <w:rFonts w:eastAsia="標楷體"/>
                <w:bCs/>
                <w:color w:val="000000" w:themeColor="text1"/>
              </w:rPr>
              <w:t>為外國機構者，信用評等機構所出具之信評等級是否符合規定且屬有效期間內。</w:t>
            </w:r>
          </w:p>
          <w:p w14:paraId="5F473C37" w14:textId="77777777" w:rsidR="00A114C3" w:rsidRPr="002B7EB7" w:rsidRDefault="00A114C3" w:rsidP="00A114C3">
            <w:pPr>
              <w:numPr>
                <w:ilvl w:val="0"/>
                <w:numId w:val="2"/>
              </w:numPr>
              <w:tabs>
                <w:tab w:val="left" w:pos="-1200"/>
                <w:tab w:val="left" w:pos="32"/>
                <w:tab w:val="left" w:pos="572"/>
              </w:tabs>
              <w:suppressAutoHyphens/>
              <w:autoSpaceDN w:val="0"/>
              <w:spacing w:line="360" w:lineRule="atLeast"/>
              <w:jc w:val="both"/>
              <w:textAlignment w:val="baseline"/>
              <w:rPr>
                <w:color w:val="000000" w:themeColor="text1"/>
              </w:rPr>
            </w:pPr>
            <w:r w:rsidRPr="002B7EB7">
              <w:rPr>
                <w:rFonts w:eastAsia="標楷體"/>
                <w:bCs/>
                <w:color w:val="000000" w:themeColor="text1"/>
              </w:rPr>
              <w:t>是否符合證券商設置標準第三十八條第一項第二款至第五款規定。</w:t>
            </w:r>
          </w:p>
          <w:p w14:paraId="4ADE05E9" w14:textId="77777777" w:rsidR="00A114C3" w:rsidRPr="002B7EB7" w:rsidRDefault="00A114C3" w:rsidP="00A114C3">
            <w:pPr>
              <w:numPr>
                <w:ilvl w:val="0"/>
                <w:numId w:val="3"/>
              </w:numPr>
              <w:tabs>
                <w:tab w:val="left" w:pos="0"/>
                <w:tab w:val="left" w:pos="480"/>
                <w:tab w:val="left" w:pos="1440"/>
                <w:tab w:val="left" w:pos="2400"/>
                <w:tab w:val="left" w:pos="3360"/>
                <w:tab w:val="left" w:pos="4320"/>
                <w:tab w:val="left" w:pos="5280"/>
                <w:tab w:val="left" w:pos="6240"/>
                <w:tab w:val="left" w:pos="7200"/>
                <w:tab w:val="left" w:pos="8160"/>
                <w:tab w:val="left" w:pos="9120"/>
                <w:tab w:val="left" w:pos="10080"/>
                <w:tab w:val="left" w:pos="11040"/>
                <w:tab w:val="left" w:pos="12000"/>
                <w:tab w:val="left" w:pos="12960"/>
                <w:tab w:val="left" w:pos="13920"/>
                <w:tab w:val="left" w:pos="14880"/>
                <w:tab w:val="left" w:pos="15840"/>
                <w:tab w:val="left" w:pos="16800"/>
              </w:tabs>
              <w:suppressAutoHyphens/>
              <w:autoSpaceDE w:val="0"/>
              <w:autoSpaceDN w:val="0"/>
              <w:spacing w:line="400" w:lineRule="atLeast"/>
              <w:ind w:right="152"/>
              <w:jc w:val="both"/>
              <w:textAlignment w:val="baseline"/>
              <w:rPr>
                <w:rFonts w:eastAsia="標楷體"/>
                <w:bCs/>
                <w:color w:val="000000" w:themeColor="text1"/>
              </w:rPr>
            </w:pPr>
            <w:r w:rsidRPr="002B7EB7">
              <w:rPr>
                <w:rFonts w:eastAsia="標楷體"/>
                <w:bCs/>
                <w:color w:val="000000" w:themeColor="text1"/>
              </w:rPr>
              <w:t>議約型認購（售）權證之規範</w:t>
            </w:r>
          </w:p>
          <w:p w14:paraId="4295A61E" w14:textId="77777777" w:rsidR="00A114C3" w:rsidRPr="002B7EB7" w:rsidRDefault="00A114C3" w:rsidP="00A114C3">
            <w:pPr>
              <w:numPr>
                <w:ilvl w:val="0"/>
                <w:numId w:val="4"/>
              </w:numPr>
              <w:tabs>
                <w:tab w:val="left" w:pos="-1200"/>
                <w:tab w:val="left" w:pos="32"/>
                <w:tab w:val="left" w:pos="720"/>
                <w:tab w:val="left" w:pos="1680"/>
                <w:tab w:val="left" w:pos="2640"/>
                <w:tab w:val="left" w:pos="3600"/>
                <w:tab w:val="left" w:pos="4560"/>
                <w:tab w:val="left" w:pos="5520"/>
                <w:tab w:val="left" w:pos="6480"/>
                <w:tab w:val="left" w:pos="7440"/>
                <w:tab w:val="left" w:pos="8400"/>
                <w:tab w:val="left" w:pos="9360"/>
                <w:tab w:val="left" w:pos="10320"/>
                <w:tab w:val="left" w:pos="11280"/>
                <w:tab w:val="left" w:pos="12240"/>
                <w:tab w:val="left" w:pos="13200"/>
                <w:tab w:val="left" w:pos="14160"/>
                <w:tab w:val="left" w:pos="15120"/>
                <w:tab w:val="left" w:pos="16080"/>
              </w:tabs>
              <w:suppressAutoHyphens/>
              <w:autoSpaceDE w:val="0"/>
              <w:autoSpaceDN w:val="0"/>
              <w:spacing w:line="400" w:lineRule="atLeast"/>
              <w:ind w:right="152"/>
              <w:jc w:val="both"/>
              <w:textAlignment w:val="baseline"/>
              <w:rPr>
                <w:rFonts w:eastAsia="標楷體"/>
                <w:bCs/>
                <w:color w:val="000000" w:themeColor="text1"/>
              </w:rPr>
            </w:pPr>
            <w:r w:rsidRPr="002B7EB7">
              <w:rPr>
                <w:rFonts w:eastAsia="標楷體"/>
                <w:bCs/>
                <w:color w:val="000000" w:themeColor="text1"/>
              </w:rPr>
              <w:t>投資人是否符合證交法第四十三條之六第一項第一款及第二款規定之私募對象。</w:t>
            </w:r>
          </w:p>
          <w:p w14:paraId="0212AB03" w14:textId="77777777" w:rsidR="00A114C3" w:rsidRPr="002B7EB7" w:rsidRDefault="00A114C3" w:rsidP="00A114C3">
            <w:pPr>
              <w:numPr>
                <w:ilvl w:val="0"/>
                <w:numId w:val="4"/>
              </w:numPr>
              <w:tabs>
                <w:tab w:val="left" w:pos="-1200"/>
                <w:tab w:val="left" w:pos="32"/>
                <w:tab w:val="left" w:pos="720"/>
                <w:tab w:val="left" w:pos="1680"/>
                <w:tab w:val="left" w:pos="2640"/>
                <w:tab w:val="left" w:pos="3600"/>
                <w:tab w:val="left" w:pos="4560"/>
                <w:tab w:val="left" w:pos="5520"/>
                <w:tab w:val="left" w:pos="6480"/>
                <w:tab w:val="left" w:pos="7440"/>
                <w:tab w:val="left" w:pos="8400"/>
                <w:tab w:val="left" w:pos="9360"/>
                <w:tab w:val="left" w:pos="10320"/>
                <w:tab w:val="left" w:pos="11280"/>
                <w:tab w:val="left" w:pos="12240"/>
                <w:tab w:val="left" w:pos="13200"/>
                <w:tab w:val="left" w:pos="14160"/>
                <w:tab w:val="left" w:pos="15120"/>
                <w:tab w:val="left" w:pos="16080"/>
              </w:tabs>
              <w:suppressAutoHyphens/>
              <w:autoSpaceDE w:val="0"/>
              <w:autoSpaceDN w:val="0"/>
              <w:spacing w:line="400" w:lineRule="atLeast"/>
              <w:ind w:right="152"/>
              <w:jc w:val="both"/>
              <w:textAlignment w:val="baseline"/>
              <w:rPr>
                <w:rFonts w:eastAsia="標楷體"/>
                <w:bCs/>
                <w:color w:val="000000" w:themeColor="text1"/>
              </w:rPr>
            </w:pPr>
            <w:r w:rsidRPr="002B7EB7">
              <w:rPr>
                <w:rFonts w:eastAsia="標楷體"/>
                <w:bCs/>
                <w:color w:val="000000" w:themeColor="text1"/>
              </w:rPr>
              <w:t>標的證券公司之董事、監察人、經理人及其持股百分之十以上大股東不得持有該一認購（售）權證。</w:t>
            </w:r>
          </w:p>
          <w:p w14:paraId="21374AF6" w14:textId="77777777" w:rsidR="00A114C3" w:rsidRPr="002B7EB7" w:rsidRDefault="00A114C3" w:rsidP="00A114C3">
            <w:pPr>
              <w:numPr>
                <w:ilvl w:val="0"/>
                <w:numId w:val="4"/>
              </w:numPr>
              <w:tabs>
                <w:tab w:val="left" w:pos="-1200"/>
                <w:tab w:val="left" w:pos="32"/>
                <w:tab w:val="left" w:pos="720"/>
                <w:tab w:val="left" w:pos="1680"/>
                <w:tab w:val="left" w:pos="2640"/>
                <w:tab w:val="left" w:pos="3600"/>
                <w:tab w:val="left" w:pos="4560"/>
                <w:tab w:val="left" w:pos="5520"/>
                <w:tab w:val="left" w:pos="6480"/>
                <w:tab w:val="left" w:pos="7440"/>
                <w:tab w:val="left" w:pos="8400"/>
                <w:tab w:val="left" w:pos="9360"/>
                <w:tab w:val="left" w:pos="10320"/>
                <w:tab w:val="left" w:pos="11280"/>
                <w:tab w:val="left" w:pos="12240"/>
                <w:tab w:val="left" w:pos="13200"/>
                <w:tab w:val="left" w:pos="14160"/>
                <w:tab w:val="left" w:pos="15120"/>
                <w:tab w:val="left" w:pos="16080"/>
              </w:tabs>
              <w:suppressAutoHyphens/>
              <w:autoSpaceDE w:val="0"/>
              <w:autoSpaceDN w:val="0"/>
              <w:spacing w:line="400" w:lineRule="atLeast"/>
              <w:ind w:right="152"/>
              <w:jc w:val="both"/>
              <w:textAlignment w:val="baseline"/>
              <w:rPr>
                <w:rFonts w:eastAsia="標楷體"/>
                <w:bCs/>
                <w:color w:val="000000" w:themeColor="text1"/>
              </w:rPr>
            </w:pPr>
            <w:r w:rsidRPr="002B7EB7">
              <w:rPr>
                <w:rFonts w:eastAsia="標楷體"/>
                <w:bCs/>
                <w:color w:val="000000" w:themeColor="text1"/>
              </w:rPr>
              <w:t>證券商及其董事、監察人、經理人、持股百分之十以上大股東及受雇人不得持有該一認購（售）權證。</w:t>
            </w:r>
          </w:p>
          <w:p w14:paraId="61439409" w14:textId="77777777" w:rsidR="00A114C3" w:rsidRPr="002B7EB7" w:rsidRDefault="00A114C3" w:rsidP="00A114C3">
            <w:pPr>
              <w:numPr>
                <w:ilvl w:val="0"/>
                <w:numId w:val="4"/>
              </w:numPr>
              <w:tabs>
                <w:tab w:val="left" w:pos="-1200"/>
                <w:tab w:val="left" w:pos="32"/>
                <w:tab w:val="left" w:pos="720"/>
                <w:tab w:val="left" w:pos="1680"/>
                <w:tab w:val="left" w:pos="2640"/>
                <w:tab w:val="left" w:pos="3600"/>
                <w:tab w:val="left" w:pos="4560"/>
                <w:tab w:val="left" w:pos="5520"/>
                <w:tab w:val="left" w:pos="6480"/>
                <w:tab w:val="left" w:pos="7440"/>
                <w:tab w:val="left" w:pos="8400"/>
                <w:tab w:val="left" w:pos="9360"/>
                <w:tab w:val="left" w:pos="10320"/>
                <w:tab w:val="left" w:pos="11280"/>
                <w:tab w:val="left" w:pos="12240"/>
                <w:tab w:val="left" w:pos="13200"/>
                <w:tab w:val="left" w:pos="14160"/>
                <w:tab w:val="left" w:pos="15120"/>
                <w:tab w:val="left" w:pos="16080"/>
              </w:tabs>
              <w:suppressAutoHyphens/>
              <w:autoSpaceDE w:val="0"/>
              <w:autoSpaceDN w:val="0"/>
              <w:spacing w:line="400" w:lineRule="atLeast"/>
              <w:ind w:right="152"/>
              <w:jc w:val="both"/>
              <w:textAlignment w:val="baseline"/>
              <w:rPr>
                <w:rFonts w:eastAsia="標楷體"/>
                <w:bCs/>
                <w:color w:val="000000" w:themeColor="text1"/>
              </w:rPr>
            </w:pPr>
            <w:r w:rsidRPr="002B7EB7">
              <w:rPr>
                <w:rFonts w:eastAsia="標楷體"/>
                <w:bCs/>
                <w:color w:val="000000" w:themeColor="text1"/>
              </w:rPr>
              <w:t>存續期間是否為二十八（含）日以上五年以下。</w:t>
            </w:r>
          </w:p>
          <w:p w14:paraId="789317D9" w14:textId="77777777" w:rsidR="00A114C3" w:rsidRPr="002B7EB7" w:rsidRDefault="00A114C3" w:rsidP="00A114C3">
            <w:pPr>
              <w:numPr>
                <w:ilvl w:val="0"/>
                <w:numId w:val="4"/>
              </w:numPr>
              <w:tabs>
                <w:tab w:val="left" w:pos="-1200"/>
                <w:tab w:val="left" w:pos="32"/>
                <w:tab w:val="left" w:pos="720"/>
                <w:tab w:val="left" w:pos="1680"/>
                <w:tab w:val="left" w:pos="2640"/>
                <w:tab w:val="left" w:pos="3600"/>
                <w:tab w:val="left" w:pos="4560"/>
                <w:tab w:val="left" w:pos="5520"/>
                <w:tab w:val="left" w:pos="6480"/>
                <w:tab w:val="left" w:pos="7440"/>
                <w:tab w:val="left" w:pos="8400"/>
                <w:tab w:val="left" w:pos="9360"/>
                <w:tab w:val="left" w:pos="10320"/>
                <w:tab w:val="left" w:pos="11280"/>
                <w:tab w:val="left" w:pos="12240"/>
                <w:tab w:val="left" w:pos="13200"/>
                <w:tab w:val="left" w:pos="14160"/>
                <w:tab w:val="left" w:pos="15120"/>
                <w:tab w:val="left" w:pos="16080"/>
              </w:tabs>
              <w:suppressAutoHyphens/>
              <w:autoSpaceDE w:val="0"/>
              <w:autoSpaceDN w:val="0"/>
              <w:spacing w:line="400" w:lineRule="atLeast"/>
              <w:ind w:right="152"/>
              <w:jc w:val="both"/>
              <w:textAlignment w:val="baseline"/>
              <w:rPr>
                <w:rFonts w:eastAsia="標楷體"/>
                <w:bCs/>
                <w:color w:val="000000" w:themeColor="text1"/>
              </w:rPr>
            </w:pPr>
            <w:r w:rsidRPr="002B7EB7">
              <w:rPr>
                <w:rFonts w:eastAsia="標楷體"/>
                <w:bCs/>
                <w:color w:val="000000" w:themeColor="text1"/>
              </w:rPr>
              <w:t>標的證券是否為台灣證券交易所或本中心最近期公告之得為認購（售）權證發行標的證券之股票。</w:t>
            </w:r>
          </w:p>
          <w:p w14:paraId="3E06E654" w14:textId="77777777" w:rsidR="00A114C3" w:rsidRPr="002B7EB7" w:rsidRDefault="00A114C3" w:rsidP="00A114C3">
            <w:pPr>
              <w:numPr>
                <w:ilvl w:val="0"/>
                <w:numId w:val="4"/>
              </w:numPr>
              <w:tabs>
                <w:tab w:val="left" w:pos="-1200"/>
                <w:tab w:val="left" w:pos="32"/>
                <w:tab w:val="left" w:pos="720"/>
                <w:tab w:val="left" w:pos="1680"/>
                <w:tab w:val="left" w:pos="2640"/>
                <w:tab w:val="left" w:pos="3600"/>
                <w:tab w:val="left" w:pos="4560"/>
                <w:tab w:val="left" w:pos="5520"/>
                <w:tab w:val="left" w:pos="6480"/>
                <w:tab w:val="left" w:pos="7440"/>
                <w:tab w:val="left" w:pos="8400"/>
                <w:tab w:val="left" w:pos="9360"/>
                <w:tab w:val="left" w:pos="10320"/>
                <w:tab w:val="left" w:pos="11280"/>
                <w:tab w:val="left" w:pos="12240"/>
                <w:tab w:val="left" w:pos="13200"/>
                <w:tab w:val="left" w:pos="14160"/>
                <w:tab w:val="left" w:pos="15120"/>
                <w:tab w:val="left" w:pos="16080"/>
              </w:tabs>
              <w:suppressAutoHyphens/>
              <w:autoSpaceDE w:val="0"/>
              <w:autoSpaceDN w:val="0"/>
              <w:spacing w:line="400" w:lineRule="atLeast"/>
              <w:ind w:right="152"/>
              <w:jc w:val="both"/>
              <w:textAlignment w:val="baseline"/>
              <w:rPr>
                <w:color w:val="000000" w:themeColor="text1"/>
              </w:rPr>
            </w:pPr>
            <w:r w:rsidRPr="002B7EB7">
              <w:rPr>
                <w:rFonts w:eastAsia="標楷體"/>
                <w:bCs/>
                <w:color w:val="000000" w:themeColor="text1"/>
              </w:rPr>
              <w:t>標的證券是否為認購（售）權證申請前三</w:t>
            </w:r>
            <w:proofErr w:type="gramStart"/>
            <w:r w:rsidRPr="002B7EB7">
              <w:rPr>
                <w:rFonts w:eastAsia="標楷體"/>
                <w:bCs/>
                <w:color w:val="000000" w:themeColor="text1"/>
              </w:rPr>
              <w:t>個</w:t>
            </w:r>
            <w:proofErr w:type="gramEnd"/>
            <w:r w:rsidRPr="002B7EB7">
              <w:rPr>
                <w:rFonts w:eastAsia="標楷體"/>
                <w:bCs/>
                <w:color w:val="000000" w:themeColor="text1"/>
              </w:rPr>
              <w:t>月台灣證券交易所或本中心監視制度所處置</w:t>
            </w:r>
            <w:r w:rsidRPr="002B7EB7">
              <w:rPr>
                <w:rFonts w:ascii="標楷體" w:eastAsia="標楷體" w:hAnsi="標楷體"/>
                <w:color w:val="000000" w:themeColor="text1"/>
                <w:szCs w:val="24"/>
              </w:rPr>
              <w:t>，或前六</w:t>
            </w:r>
            <w:proofErr w:type="gramStart"/>
            <w:r w:rsidRPr="002B7EB7">
              <w:rPr>
                <w:rFonts w:ascii="標楷體" w:eastAsia="標楷體" w:hAnsi="標楷體"/>
                <w:color w:val="000000" w:themeColor="text1"/>
                <w:szCs w:val="24"/>
              </w:rPr>
              <w:t>個</w:t>
            </w:r>
            <w:proofErr w:type="gramEnd"/>
            <w:r w:rsidRPr="002B7EB7">
              <w:rPr>
                <w:rFonts w:ascii="標楷體" w:eastAsia="標楷體" w:hAnsi="標楷體"/>
                <w:color w:val="000000" w:themeColor="text1"/>
                <w:szCs w:val="24"/>
              </w:rPr>
              <w:t>營業日中有二個營業日標的證券經台灣證券交易所或本中心公布注意</w:t>
            </w:r>
            <w:r w:rsidRPr="002B7EB7">
              <w:rPr>
                <w:rFonts w:eastAsia="標楷體"/>
                <w:bCs/>
                <w:color w:val="000000" w:themeColor="text1"/>
              </w:rPr>
              <w:t>之證券。</w:t>
            </w:r>
          </w:p>
          <w:p w14:paraId="29BF0028" w14:textId="77777777" w:rsidR="00A114C3" w:rsidRPr="002B7EB7" w:rsidRDefault="00A114C3" w:rsidP="00A114C3">
            <w:pPr>
              <w:numPr>
                <w:ilvl w:val="0"/>
                <w:numId w:val="4"/>
              </w:numPr>
              <w:tabs>
                <w:tab w:val="left" w:pos="-1200"/>
                <w:tab w:val="left" w:pos="32"/>
                <w:tab w:val="left" w:pos="720"/>
                <w:tab w:val="left" w:pos="1680"/>
                <w:tab w:val="left" w:pos="2640"/>
                <w:tab w:val="left" w:pos="3600"/>
                <w:tab w:val="left" w:pos="4560"/>
                <w:tab w:val="left" w:pos="5520"/>
                <w:tab w:val="left" w:pos="6480"/>
                <w:tab w:val="left" w:pos="7440"/>
                <w:tab w:val="left" w:pos="8400"/>
                <w:tab w:val="left" w:pos="9360"/>
                <w:tab w:val="left" w:pos="10320"/>
                <w:tab w:val="left" w:pos="11280"/>
                <w:tab w:val="left" w:pos="12240"/>
                <w:tab w:val="left" w:pos="13200"/>
                <w:tab w:val="left" w:pos="14160"/>
                <w:tab w:val="left" w:pos="15120"/>
                <w:tab w:val="left" w:pos="16080"/>
              </w:tabs>
              <w:suppressAutoHyphens/>
              <w:autoSpaceDE w:val="0"/>
              <w:autoSpaceDN w:val="0"/>
              <w:spacing w:line="400" w:lineRule="atLeast"/>
              <w:ind w:right="152"/>
              <w:jc w:val="both"/>
              <w:textAlignment w:val="baseline"/>
              <w:rPr>
                <w:color w:val="000000" w:themeColor="text1"/>
              </w:rPr>
            </w:pPr>
            <w:r w:rsidRPr="002B7EB7">
              <w:rPr>
                <w:rFonts w:eastAsia="標楷體"/>
                <w:bCs/>
                <w:color w:val="000000" w:themeColor="text1"/>
              </w:rPr>
              <w:t>申請前一個月證券商或其聯屬公司是否曾發</w:t>
            </w:r>
            <w:r w:rsidRPr="002B7EB7">
              <w:rPr>
                <w:rFonts w:ascii="標楷體" w:eastAsia="標楷體" w:hAnsi="標楷體"/>
                <w:color w:val="000000" w:themeColor="text1"/>
                <w:szCs w:val="24"/>
              </w:rPr>
              <w:t>佈</w:t>
            </w:r>
            <w:r w:rsidRPr="002B7EB7">
              <w:rPr>
                <w:rFonts w:eastAsia="標楷體"/>
                <w:bCs/>
                <w:color w:val="000000" w:themeColor="text1"/>
              </w:rPr>
              <w:t>有關其擬發行之認購（售）權證標的證券價格之相關預測或消息</w:t>
            </w:r>
            <w:r w:rsidRPr="002B7EB7">
              <w:rPr>
                <w:rFonts w:eastAsia="標楷體"/>
                <w:bCs/>
                <w:strike/>
                <w:color w:val="000000" w:themeColor="text1"/>
              </w:rPr>
              <w:t>者</w:t>
            </w:r>
            <w:r w:rsidRPr="002B7EB7">
              <w:rPr>
                <w:rFonts w:eastAsia="標楷體"/>
                <w:bCs/>
                <w:color w:val="000000" w:themeColor="text1"/>
              </w:rPr>
              <w:t>。</w:t>
            </w:r>
          </w:p>
          <w:p w14:paraId="1F75B7A1" w14:textId="77777777" w:rsidR="00A114C3" w:rsidRPr="002B7EB7" w:rsidRDefault="00A114C3" w:rsidP="00A114C3">
            <w:pPr>
              <w:numPr>
                <w:ilvl w:val="0"/>
                <w:numId w:val="4"/>
              </w:numPr>
              <w:tabs>
                <w:tab w:val="left" w:pos="-1200"/>
                <w:tab w:val="left" w:pos="32"/>
                <w:tab w:val="left" w:pos="720"/>
                <w:tab w:val="left" w:pos="1680"/>
                <w:tab w:val="left" w:pos="2640"/>
                <w:tab w:val="left" w:pos="3600"/>
                <w:tab w:val="left" w:pos="4560"/>
                <w:tab w:val="left" w:pos="5520"/>
                <w:tab w:val="left" w:pos="6480"/>
                <w:tab w:val="left" w:pos="7440"/>
                <w:tab w:val="left" w:pos="8400"/>
                <w:tab w:val="left" w:pos="9360"/>
                <w:tab w:val="left" w:pos="10320"/>
                <w:tab w:val="left" w:pos="11280"/>
                <w:tab w:val="left" w:pos="12240"/>
                <w:tab w:val="left" w:pos="13200"/>
                <w:tab w:val="left" w:pos="14160"/>
                <w:tab w:val="left" w:pos="15120"/>
                <w:tab w:val="left" w:pos="16080"/>
              </w:tabs>
              <w:suppressAutoHyphens/>
              <w:autoSpaceDE w:val="0"/>
              <w:autoSpaceDN w:val="0"/>
              <w:spacing w:line="400" w:lineRule="atLeast"/>
              <w:ind w:right="152"/>
              <w:jc w:val="both"/>
              <w:textAlignment w:val="baseline"/>
              <w:rPr>
                <w:rFonts w:eastAsia="標楷體"/>
                <w:bCs/>
                <w:color w:val="000000" w:themeColor="text1"/>
              </w:rPr>
            </w:pPr>
            <w:r w:rsidRPr="002B7EB7">
              <w:rPr>
                <w:rFonts w:eastAsia="標楷體"/>
                <w:bCs/>
                <w:color w:val="000000" w:themeColor="text1"/>
              </w:rPr>
              <w:lastRenderedPageBreak/>
              <w:t>證券商或其董事、監察人、經理人、受</w:t>
            </w:r>
            <w:proofErr w:type="gramStart"/>
            <w:r w:rsidRPr="002B7EB7">
              <w:rPr>
                <w:rFonts w:eastAsia="標楷體"/>
                <w:bCs/>
                <w:color w:val="000000" w:themeColor="text1"/>
              </w:rPr>
              <w:t>僱</w:t>
            </w:r>
            <w:proofErr w:type="gramEnd"/>
            <w:r w:rsidRPr="002B7EB7">
              <w:rPr>
                <w:rFonts w:eastAsia="標楷體"/>
                <w:bCs/>
                <w:color w:val="000000" w:themeColor="text1"/>
              </w:rPr>
              <w:t>人或持股百分之十以上之股東，或有上列身分者持股百分之十以上之他公司，是否為標的證券發行公司或上市、櫃證券組合之各發行公司之董事、監察人、經理人、或持股百分之十以上之股東。</w:t>
            </w:r>
          </w:p>
          <w:p w14:paraId="02125EB4" w14:textId="77777777" w:rsidR="00A114C3" w:rsidRPr="002B7EB7" w:rsidRDefault="00A114C3" w:rsidP="00A114C3">
            <w:pPr>
              <w:numPr>
                <w:ilvl w:val="0"/>
                <w:numId w:val="4"/>
              </w:numPr>
              <w:tabs>
                <w:tab w:val="left" w:pos="-1200"/>
                <w:tab w:val="left" w:pos="32"/>
                <w:tab w:val="left" w:pos="720"/>
                <w:tab w:val="left" w:pos="1680"/>
                <w:tab w:val="left" w:pos="2640"/>
                <w:tab w:val="left" w:pos="3600"/>
                <w:tab w:val="left" w:pos="4560"/>
                <w:tab w:val="left" w:pos="5520"/>
                <w:tab w:val="left" w:pos="6480"/>
                <w:tab w:val="left" w:pos="7440"/>
                <w:tab w:val="left" w:pos="8400"/>
                <w:tab w:val="left" w:pos="9360"/>
                <w:tab w:val="left" w:pos="10320"/>
                <w:tab w:val="left" w:pos="11280"/>
                <w:tab w:val="left" w:pos="12240"/>
                <w:tab w:val="left" w:pos="13200"/>
                <w:tab w:val="left" w:pos="14160"/>
                <w:tab w:val="left" w:pos="15120"/>
                <w:tab w:val="left" w:pos="16080"/>
              </w:tabs>
              <w:suppressAutoHyphens/>
              <w:autoSpaceDE w:val="0"/>
              <w:autoSpaceDN w:val="0"/>
              <w:spacing w:line="400" w:lineRule="atLeast"/>
              <w:ind w:right="152"/>
              <w:jc w:val="both"/>
              <w:textAlignment w:val="baseline"/>
              <w:rPr>
                <w:rFonts w:eastAsia="標楷體"/>
                <w:bCs/>
                <w:color w:val="000000" w:themeColor="text1"/>
              </w:rPr>
            </w:pPr>
            <w:r w:rsidRPr="002B7EB7">
              <w:rPr>
                <w:rFonts w:eastAsia="標楷體"/>
                <w:bCs/>
                <w:color w:val="000000" w:themeColor="text1"/>
              </w:rPr>
              <w:t>其交易單位可認購（售）標的證券股數，與全體證券商現有已成交未</w:t>
            </w:r>
            <w:proofErr w:type="gramStart"/>
            <w:r w:rsidRPr="002B7EB7">
              <w:rPr>
                <w:rFonts w:eastAsia="標楷體"/>
                <w:bCs/>
                <w:color w:val="000000" w:themeColor="text1"/>
              </w:rPr>
              <w:t>到期各議約</w:t>
            </w:r>
            <w:proofErr w:type="gramEnd"/>
            <w:r w:rsidRPr="002B7EB7">
              <w:rPr>
                <w:rFonts w:eastAsia="標楷體"/>
                <w:bCs/>
                <w:color w:val="000000" w:themeColor="text1"/>
              </w:rPr>
              <w:t>型認購</w:t>
            </w:r>
            <w:r w:rsidRPr="002B7EB7">
              <w:rPr>
                <w:rFonts w:eastAsia="標楷體"/>
                <w:bCs/>
                <w:color w:val="000000" w:themeColor="text1"/>
              </w:rPr>
              <w:t>(</w:t>
            </w:r>
            <w:r w:rsidRPr="002B7EB7">
              <w:rPr>
                <w:rFonts w:eastAsia="標楷體"/>
                <w:bCs/>
                <w:color w:val="000000" w:themeColor="text1"/>
              </w:rPr>
              <w:t>售</w:t>
            </w:r>
            <w:r w:rsidRPr="002B7EB7">
              <w:rPr>
                <w:rFonts w:eastAsia="標楷體"/>
                <w:bCs/>
                <w:color w:val="000000" w:themeColor="text1"/>
              </w:rPr>
              <w:t>)</w:t>
            </w:r>
            <w:r w:rsidRPr="002B7EB7">
              <w:rPr>
                <w:rFonts w:eastAsia="標楷體"/>
                <w:bCs/>
                <w:color w:val="000000" w:themeColor="text1"/>
              </w:rPr>
              <w:t>權證可認購（售）標的證券股數之合計數，加計全體</w:t>
            </w:r>
            <w:proofErr w:type="gramStart"/>
            <w:r w:rsidRPr="002B7EB7">
              <w:rPr>
                <w:rFonts w:eastAsia="標楷體"/>
                <w:bCs/>
                <w:color w:val="000000" w:themeColor="text1"/>
              </w:rPr>
              <w:t>證券商證券商或其委外</w:t>
            </w:r>
            <w:proofErr w:type="gramEnd"/>
            <w:r w:rsidRPr="002B7EB7">
              <w:rPr>
                <w:rFonts w:eastAsia="標楷體"/>
                <w:bCs/>
                <w:color w:val="000000" w:themeColor="text1"/>
              </w:rPr>
              <w:t>機構在國外交易之議約型認購（售）權證可認購（售）標的證券股數之數量，不得超過該標的證券發行公司已發行股份總額扣除其全體董事、監察人應持有之法定持股成數與已質押股數、新上櫃公司強制集保之股數、依「上市上櫃公司買回本公司股份辦法」規定已買回未註銷之股份及經主管機關限制上櫃買賣之股份後之百分之三。</w:t>
            </w:r>
          </w:p>
          <w:p w14:paraId="15C7D03F" w14:textId="77777777" w:rsidR="00A114C3" w:rsidRPr="002B7EB7" w:rsidRDefault="00A114C3" w:rsidP="00A114C3">
            <w:pPr>
              <w:numPr>
                <w:ilvl w:val="0"/>
                <w:numId w:val="4"/>
              </w:numPr>
              <w:tabs>
                <w:tab w:val="left" w:pos="-1200"/>
                <w:tab w:val="left" w:pos="32"/>
                <w:tab w:val="left" w:pos="720"/>
                <w:tab w:val="left" w:pos="1680"/>
                <w:tab w:val="left" w:pos="2640"/>
                <w:tab w:val="left" w:pos="3600"/>
                <w:tab w:val="left" w:pos="4560"/>
                <w:tab w:val="left" w:pos="5520"/>
                <w:tab w:val="left" w:pos="6480"/>
                <w:tab w:val="left" w:pos="7440"/>
                <w:tab w:val="left" w:pos="8400"/>
                <w:tab w:val="left" w:pos="9360"/>
                <w:tab w:val="left" w:pos="10320"/>
                <w:tab w:val="left" w:pos="11280"/>
                <w:tab w:val="left" w:pos="12240"/>
                <w:tab w:val="left" w:pos="13200"/>
                <w:tab w:val="left" w:pos="14160"/>
                <w:tab w:val="left" w:pos="15120"/>
                <w:tab w:val="left" w:pos="16080"/>
              </w:tabs>
              <w:suppressAutoHyphens/>
              <w:autoSpaceDE w:val="0"/>
              <w:autoSpaceDN w:val="0"/>
              <w:spacing w:line="400" w:lineRule="atLeast"/>
              <w:ind w:right="152"/>
              <w:jc w:val="both"/>
              <w:textAlignment w:val="baseline"/>
              <w:rPr>
                <w:color w:val="000000" w:themeColor="text1"/>
              </w:rPr>
            </w:pPr>
            <w:r w:rsidRPr="002B7EB7">
              <w:rPr>
                <w:rFonts w:eastAsia="標楷體"/>
                <w:bCs/>
                <w:color w:val="000000" w:themeColor="text1"/>
              </w:rPr>
              <w:t>證券商已發行而尚未到期之現有已上市、已上櫃認購（售）權證之市價總值及已交易而未到期之議約型認購（售）權證之交易總值，加總其擬交易之議約型認購（售）權證之成交金額，是否超過本中心認購</w:t>
            </w:r>
            <w:r w:rsidRPr="002B7EB7">
              <w:rPr>
                <w:rFonts w:eastAsia="標楷體"/>
                <w:bCs/>
                <w:color w:val="000000" w:themeColor="text1"/>
              </w:rPr>
              <w:t>(</w:t>
            </w:r>
            <w:r w:rsidRPr="002B7EB7">
              <w:rPr>
                <w:rFonts w:eastAsia="標楷體"/>
                <w:bCs/>
                <w:color w:val="000000" w:themeColor="text1"/>
              </w:rPr>
              <w:t>售</w:t>
            </w:r>
            <w:r w:rsidRPr="002B7EB7">
              <w:rPr>
                <w:rFonts w:eastAsia="標楷體"/>
                <w:bCs/>
                <w:color w:val="000000" w:themeColor="text1"/>
              </w:rPr>
              <w:t>)</w:t>
            </w:r>
            <w:r w:rsidRPr="002B7EB7">
              <w:rPr>
                <w:rFonts w:eastAsia="標楷體"/>
                <w:bCs/>
                <w:color w:val="000000" w:themeColor="text1"/>
              </w:rPr>
              <w:t>權證審查準則第十二第六款各目規定或加計認購</w:t>
            </w:r>
            <w:r w:rsidRPr="002B7EB7">
              <w:rPr>
                <w:rFonts w:eastAsia="標楷體"/>
                <w:bCs/>
                <w:color w:val="000000" w:themeColor="text1"/>
              </w:rPr>
              <w:t>(</w:t>
            </w:r>
            <w:r w:rsidRPr="002B7EB7">
              <w:rPr>
                <w:rFonts w:eastAsia="標楷體"/>
                <w:bCs/>
                <w:color w:val="000000" w:themeColor="text1"/>
              </w:rPr>
              <w:t>售</w:t>
            </w:r>
            <w:r w:rsidRPr="002B7EB7">
              <w:rPr>
                <w:rFonts w:eastAsia="標楷體"/>
                <w:bCs/>
                <w:color w:val="000000" w:themeColor="text1"/>
              </w:rPr>
              <w:t>)</w:t>
            </w:r>
            <w:r w:rsidRPr="002B7EB7">
              <w:rPr>
                <w:rFonts w:eastAsia="標楷體"/>
                <w:bCs/>
                <w:color w:val="000000" w:themeColor="text1"/>
              </w:rPr>
              <w:t>權證發行人評等辦法六條規定額度。</w:t>
            </w:r>
          </w:p>
          <w:p w14:paraId="2D8CC4DA" w14:textId="77777777" w:rsidR="00A114C3" w:rsidRPr="002B7EB7" w:rsidRDefault="00A114C3" w:rsidP="002A0B90">
            <w:pPr>
              <w:autoSpaceDE w:val="0"/>
              <w:spacing w:line="400" w:lineRule="atLeast"/>
              <w:ind w:left="1248" w:right="152" w:hanging="660"/>
              <w:jc w:val="both"/>
              <w:rPr>
                <w:color w:val="000000" w:themeColor="text1"/>
              </w:rPr>
            </w:pPr>
            <w:r w:rsidRPr="002B7EB7">
              <w:rPr>
                <w:rFonts w:ascii="標楷體" w:eastAsia="標楷體" w:hAnsi="標楷體"/>
                <w:bCs/>
                <w:color w:val="000000" w:themeColor="text1"/>
                <w:szCs w:val="24"/>
              </w:rPr>
              <w:t>(十一)標的證券是否為認購（售）權證申請日時公開資訊觀測站</w:t>
            </w:r>
            <w:r w:rsidRPr="002B7EB7">
              <w:rPr>
                <w:rFonts w:ascii="標楷體" w:eastAsia="標楷體" w:hAnsi="標楷體"/>
                <w:color w:val="000000" w:themeColor="text1"/>
                <w:szCs w:val="24"/>
              </w:rPr>
              <w:t>「財務</w:t>
            </w:r>
            <w:r w:rsidRPr="002B7EB7">
              <w:rPr>
                <w:rFonts w:ascii="標楷體" w:eastAsia="標楷體" w:hAnsi="標楷體" w:hint="eastAsia"/>
                <w:color w:val="000000" w:themeColor="text1"/>
                <w:szCs w:val="24"/>
                <w:u w:val="single"/>
              </w:rPr>
              <w:t>及交易資訊</w:t>
            </w:r>
            <w:r w:rsidRPr="002B7EB7">
              <w:rPr>
                <w:rFonts w:ascii="標楷體" w:eastAsia="標楷體" w:hAnsi="標楷體"/>
                <w:color w:val="000000" w:themeColor="text1"/>
                <w:szCs w:val="24"/>
              </w:rPr>
              <w:t>重點專區」</w:t>
            </w:r>
            <w:r w:rsidRPr="002B7EB7">
              <w:rPr>
                <w:rFonts w:ascii="標楷體" w:eastAsia="標楷體" w:hAnsi="標楷體"/>
                <w:bCs/>
                <w:color w:val="000000" w:themeColor="text1"/>
                <w:szCs w:val="24"/>
              </w:rPr>
              <w:t>所揭示標的證券發行公司之財務</w:t>
            </w:r>
            <w:r w:rsidRPr="002B7EB7">
              <w:rPr>
                <w:rFonts w:ascii="標楷體" w:eastAsia="標楷體" w:hAnsi="標楷體" w:hint="eastAsia"/>
                <w:color w:val="000000" w:themeColor="text1"/>
                <w:szCs w:val="24"/>
                <w:u w:val="single"/>
              </w:rPr>
              <w:t>及交易</w:t>
            </w:r>
            <w:r w:rsidRPr="002B7EB7">
              <w:rPr>
                <w:rFonts w:ascii="標楷體" w:eastAsia="標楷體" w:hAnsi="標楷體"/>
                <w:bCs/>
                <w:color w:val="000000" w:themeColor="text1"/>
                <w:szCs w:val="24"/>
              </w:rPr>
              <w:t>指標，有警示標記者。</w:t>
            </w:r>
          </w:p>
          <w:p w14:paraId="0C68A003" w14:textId="77777777" w:rsidR="00A114C3" w:rsidRPr="002B7EB7" w:rsidRDefault="00A114C3" w:rsidP="002A0B90">
            <w:pPr>
              <w:autoSpaceDE w:val="0"/>
              <w:spacing w:line="400" w:lineRule="atLeast"/>
              <w:ind w:right="152" w:firstLine="588"/>
              <w:jc w:val="both"/>
              <w:rPr>
                <w:rFonts w:eastAsia="標楷體"/>
                <w:bCs/>
                <w:color w:val="000000" w:themeColor="text1"/>
              </w:rPr>
            </w:pPr>
            <w:r w:rsidRPr="002B7EB7">
              <w:rPr>
                <w:rFonts w:eastAsia="標楷體"/>
                <w:bCs/>
                <w:color w:val="000000" w:themeColor="text1"/>
              </w:rPr>
              <w:t>(</w:t>
            </w:r>
            <w:r w:rsidRPr="002B7EB7">
              <w:rPr>
                <w:rFonts w:eastAsia="標楷體"/>
                <w:bCs/>
                <w:color w:val="000000" w:themeColor="text1"/>
              </w:rPr>
              <w:t>十二</w:t>
            </w:r>
            <w:r w:rsidRPr="002B7EB7">
              <w:rPr>
                <w:rFonts w:eastAsia="標楷體"/>
                <w:bCs/>
                <w:color w:val="000000" w:themeColor="text1"/>
              </w:rPr>
              <w:t>)</w:t>
            </w:r>
            <w:r w:rsidRPr="002B7EB7">
              <w:rPr>
                <w:rFonts w:eastAsia="標楷體"/>
                <w:bCs/>
                <w:color w:val="000000" w:themeColor="text1"/>
              </w:rPr>
              <w:t>預定之風險沖銷策略。</w:t>
            </w:r>
          </w:p>
          <w:p w14:paraId="24CF4B23" w14:textId="77777777" w:rsidR="00A114C3" w:rsidRPr="002B7EB7" w:rsidRDefault="00A114C3" w:rsidP="002A0B90">
            <w:pPr>
              <w:autoSpaceDE w:val="0"/>
              <w:spacing w:line="400" w:lineRule="atLeast"/>
              <w:ind w:left="1248" w:right="152" w:hanging="708"/>
              <w:jc w:val="both"/>
              <w:rPr>
                <w:rFonts w:ascii="標楷體" w:eastAsia="標楷體" w:hAnsi="標楷體"/>
                <w:bCs/>
                <w:color w:val="000000" w:themeColor="text1"/>
              </w:rPr>
            </w:pPr>
            <w:r w:rsidRPr="002B7EB7">
              <w:rPr>
                <w:rFonts w:ascii="標楷體" w:eastAsia="標楷體" w:hAnsi="標楷體"/>
                <w:bCs/>
                <w:color w:val="000000" w:themeColor="text1"/>
              </w:rPr>
              <w:t>(十三)辦理議約型認購(售)權證之證券商為外國機構者，申請交易認購 (售) 權證時，其因避險所需匯入國內之淨金額 (即匯入之金額扣除非因</w:t>
            </w:r>
            <w:proofErr w:type="gramStart"/>
            <w:r w:rsidRPr="002B7EB7">
              <w:rPr>
                <w:rFonts w:ascii="標楷體" w:eastAsia="標楷體" w:hAnsi="標楷體"/>
                <w:bCs/>
                <w:color w:val="000000" w:themeColor="text1"/>
              </w:rPr>
              <w:t>本次避險</w:t>
            </w:r>
            <w:proofErr w:type="gramEnd"/>
            <w:r w:rsidRPr="002B7EB7">
              <w:rPr>
                <w:rFonts w:ascii="標楷體" w:eastAsia="標楷體" w:hAnsi="標楷體"/>
                <w:bCs/>
                <w:color w:val="000000" w:themeColor="text1"/>
              </w:rPr>
              <w:t>所需之金額) ，是否大於或等於所發行或交易之 (</w:t>
            </w:r>
            <w:proofErr w:type="gramStart"/>
            <w:r w:rsidRPr="002B7EB7">
              <w:rPr>
                <w:rFonts w:ascii="標楷體" w:eastAsia="標楷體" w:hAnsi="標楷體"/>
                <w:bCs/>
                <w:color w:val="000000" w:themeColor="text1"/>
              </w:rPr>
              <w:t>含本次</w:t>
            </w:r>
            <w:proofErr w:type="gramEnd"/>
            <w:r w:rsidRPr="002B7EB7">
              <w:rPr>
                <w:rFonts w:ascii="標楷體" w:eastAsia="標楷體" w:hAnsi="標楷體"/>
                <w:bCs/>
                <w:color w:val="000000" w:themeColor="text1"/>
              </w:rPr>
              <w:t>) 未到期之上市、上櫃及議約型認購 (售) 權證所表彰標的證券市值者；另是否出具該次交易權證收取之權利金</w:t>
            </w:r>
            <w:proofErr w:type="gramStart"/>
            <w:r w:rsidRPr="002B7EB7">
              <w:rPr>
                <w:rFonts w:ascii="標楷體" w:eastAsia="標楷體" w:hAnsi="標楷體"/>
                <w:bCs/>
                <w:color w:val="000000" w:themeColor="text1"/>
              </w:rPr>
              <w:t>俟</w:t>
            </w:r>
            <w:proofErr w:type="gramEnd"/>
            <w:r w:rsidRPr="002B7EB7">
              <w:rPr>
                <w:rFonts w:ascii="標楷體" w:eastAsia="標楷體" w:hAnsi="標楷體"/>
                <w:bCs/>
                <w:color w:val="000000" w:themeColor="text1"/>
              </w:rPr>
              <w:t>權證到期後始匯出國內之承諾書。</w:t>
            </w:r>
          </w:p>
          <w:p w14:paraId="3F825276" w14:textId="77777777" w:rsidR="00A114C3" w:rsidRPr="002B7EB7" w:rsidRDefault="00A114C3" w:rsidP="002A0B90">
            <w:pPr>
              <w:autoSpaceDE w:val="0"/>
              <w:spacing w:line="400" w:lineRule="atLeast"/>
              <w:ind w:left="1315" w:right="152" w:hanging="727"/>
              <w:jc w:val="both"/>
              <w:rPr>
                <w:rFonts w:eastAsia="標楷體"/>
                <w:bCs/>
                <w:color w:val="000000" w:themeColor="text1"/>
              </w:rPr>
            </w:pPr>
            <w:r w:rsidRPr="002B7EB7">
              <w:rPr>
                <w:rFonts w:eastAsia="標楷體"/>
                <w:bCs/>
                <w:color w:val="000000" w:themeColor="text1"/>
              </w:rPr>
              <w:t>(</w:t>
            </w:r>
            <w:r w:rsidRPr="002B7EB7">
              <w:rPr>
                <w:rFonts w:eastAsia="標楷體"/>
                <w:bCs/>
                <w:color w:val="000000" w:themeColor="text1"/>
              </w:rPr>
              <w:t>十四</w:t>
            </w:r>
            <w:r w:rsidRPr="002B7EB7">
              <w:rPr>
                <w:rFonts w:eastAsia="標楷體"/>
                <w:bCs/>
                <w:color w:val="000000" w:themeColor="text1"/>
              </w:rPr>
              <w:t>)</w:t>
            </w:r>
            <w:r w:rsidRPr="002B7EB7">
              <w:rPr>
                <w:rFonts w:eastAsia="標楷體"/>
                <w:bCs/>
                <w:color w:val="000000" w:themeColor="text1"/>
              </w:rPr>
              <w:t>有前條各款情事或其他不利因素以致不宜交易權證</w:t>
            </w:r>
            <w:r w:rsidRPr="002B7EB7">
              <w:rPr>
                <w:rFonts w:eastAsia="標楷體"/>
                <w:bCs/>
                <w:color w:val="000000" w:themeColor="text1"/>
              </w:rPr>
              <w:lastRenderedPageBreak/>
              <w:t>者。</w:t>
            </w:r>
          </w:p>
          <w:p w14:paraId="05A23D0E" w14:textId="77777777" w:rsidR="00A114C3" w:rsidRPr="002B7EB7" w:rsidRDefault="00A114C3" w:rsidP="002A0B9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s>
              <w:autoSpaceDE w:val="0"/>
              <w:spacing w:line="400" w:lineRule="atLeast"/>
              <w:ind w:right="-53"/>
              <w:jc w:val="both"/>
              <w:rPr>
                <w:rFonts w:eastAsia="標楷體"/>
                <w:bCs/>
                <w:color w:val="000000" w:themeColor="text1"/>
              </w:rPr>
            </w:pPr>
            <w:r w:rsidRPr="002B7EB7">
              <w:rPr>
                <w:rFonts w:eastAsia="標楷體"/>
                <w:bCs/>
                <w:color w:val="000000" w:themeColor="text1"/>
              </w:rPr>
              <w:t>三、認購（售）權證交易契約</w:t>
            </w:r>
          </w:p>
          <w:p w14:paraId="3C0D00CD" w14:textId="77777777" w:rsidR="00A114C3" w:rsidRPr="002B7EB7" w:rsidRDefault="00A114C3" w:rsidP="00A114C3">
            <w:pPr>
              <w:numPr>
                <w:ilvl w:val="0"/>
                <w:numId w:val="5"/>
              </w:numPr>
              <w:tabs>
                <w:tab w:val="left" w:pos="-1200"/>
                <w:tab w:val="left" w:pos="32"/>
                <w:tab w:val="left" w:pos="720"/>
                <w:tab w:val="left" w:pos="1680"/>
                <w:tab w:val="left" w:pos="2640"/>
                <w:tab w:val="left" w:pos="3600"/>
                <w:tab w:val="left" w:pos="4560"/>
                <w:tab w:val="left" w:pos="5520"/>
                <w:tab w:val="left" w:pos="6480"/>
                <w:tab w:val="left" w:pos="7440"/>
                <w:tab w:val="left" w:pos="8400"/>
                <w:tab w:val="left" w:pos="9360"/>
                <w:tab w:val="left" w:pos="10320"/>
                <w:tab w:val="left" w:pos="11280"/>
                <w:tab w:val="left" w:pos="12240"/>
                <w:tab w:val="left" w:pos="13200"/>
                <w:tab w:val="left" w:pos="14160"/>
                <w:tab w:val="left" w:pos="15120"/>
                <w:tab w:val="left" w:pos="16080"/>
              </w:tabs>
              <w:suppressAutoHyphens/>
              <w:autoSpaceDE w:val="0"/>
              <w:autoSpaceDN w:val="0"/>
              <w:spacing w:line="400" w:lineRule="atLeast"/>
              <w:ind w:right="152"/>
              <w:jc w:val="both"/>
              <w:textAlignment w:val="baseline"/>
              <w:rPr>
                <w:rFonts w:eastAsia="標楷體"/>
                <w:bCs/>
                <w:color w:val="000000" w:themeColor="text1"/>
              </w:rPr>
            </w:pPr>
            <w:r w:rsidRPr="002B7EB7">
              <w:rPr>
                <w:rFonts w:eastAsia="標楷體"/>
                <w:bCs/>
                <w:color w:val="000000" w:themeColor="text1"/>
              </w:rPr>
              <w:t>洽定之投資人姓名或名稱、身分證字號（營利事業登記證號，外資者為向臺灣證券交易所取得之身分編碼）及地址。</w:t>
            </w:r>
          </w:p>
          <w:p w14:paraId="59E49396" w14:textId="77777777" w:rsidR="00A114C3" w:rsidRPr="002B7EB7" w:rsidRDefault="00A114C3" w:rsidP="00A114C3">
            <w:pPr>
              <w:numPr>
                <w:ilvl w:val="0"/>
                <w:numId w:val="5"/>
              </w:numPr>
              <w:tabs>
                <w:tab w:val="left" w:pos="-1200"/>
                <w:tab w:val="left" w:pos="32"/>
                <w:tab w:val="left" w:pos="720"/>
                <w:tab w:val="left" w:pos="1680"/>
                <w:tab w:val="left" w:pos="2640"/>
                <w:tab w:val="left" w:pos="3600"/>
                <w:tab w:val="left" w:pos="4560"/>
                <w:tab w:val="left" w:pos="5520"/>
                <w:tab w:val="left" w:pos="6480"/>
                <w:tab w:val="left" w:pos="7440"/>
                <w:tab w:val="left" w:pos="8400"/>
                <w:tab w:val="left" w:pos="9360"/>
                <w:tab w:val="left" w:pos="10320"/>
                <w:tab w:val="left" w:pos="11280"/>
                <w:tab w:val="left" w:pos="12240"/>
                <w:tab w:val="left" w:pos="13200"/>
                <w:tab w:val="left" w:pos="14160"/>
                <w:tab w:val="left" w:pos="15120"/>
                <w:tab w:val="left" w:pos="16080"/>
              </w:tabs>
              <w:suppressAutoHyphens/>
              <w:autoSpaceDE w:val="0"/>
              <w:autoSpaceDN w:val="0"/>
              <w:spacing w:line="400" w:lineRule="atLeast"/>
              <w:ind w:right="152"/>
              <w:jc w:val="both"/>
              <w:textAlignment w:val="baseline"/>
              <w:rPr>
                <w:rFonts w:eastAsia="標楷體"/>
                <w:bCs/>
                <w:color w:val="000000" w:themeColor="text1"/>
              </w:rPr>
            </w:pPr>
            <w:r w:rsidRPr="002B7EB7">
              <w:rPr>
                <w:rFonts w:eastAsia="標楷體"/>
                <w:bCs/>
                <w:color w:val="000000" w:themeColor="text1"/>
              </w:rPr>
              <w:t>成交日期、到期日期及存續期間。</w:t>
            </w:r>
          </w:p>
          <w:p w14:paraId="30FEB689" w14:textId="77777777" w:rsidR="00A114C3" w:rsidRPr="002B7EB7" w:rsidRDefault="00A114C3" w:rsidP="00A114C3">
            <w:pPr>
              <w:numPr>
                <w:ilvl w:val="0"/>
                <w:numId w:val="5"/>
              </w:numPr>
              <w:tabs>
                <w:tab w:val="left" w:pos="-1200"/>
                <w:tab w:val="left" w:pos="32"/>
                <w:tab w:val="left" w:pos="720"/>
                <w:tab w:val="left" w:pos="1680"/>
                <w:tab w:val="left" w:pos="2640"/>
                <w:tab w:val="left" w:pos="3600"/>
                <w:tab w:val="left" w:pos="4560"/>
                <w:tab w:val="left" w:pos="5520"/>
                <w:tab w:val="left" w:pos="6480"/>
                <w:tab w:val="left" w:pos="7440"/>
                <w:tab w:val="left" w:pos="8400"/>
                <w:tab w:val="left" w:pos="9360"/>
                <w:tab w:val="left" w:pos="10320"/>
                <w:tab w:val="left" w:pos="11280"/>
                <w:tab w:val="left" w:pos="12240"/>
                <w:tab w:val="left" w:pos="13200"/>
                <w:tab w:val="left" w:pos="14160"/>
                <w:tab w:val="left" w:pos="15120"/>
                <w:tab w:val="left" w:pos="16080"/>
              </w:tabs>
              <w:suppressAutoHyphens/>
              <w:autoSpaceDE w:val="0"/>
              <w:autoSpaceDN w:val="0"/>
              <w:spacing w:line="400" w:lineRule="atLeast"/>
              <w:ind w:right="152"/>
              <w:jc w:val="both"/>
              <w:textAlignment w:val="baseline"/>
              <w:rPr>
                <w:rFonts w:eastAsia="標楷體"/>
                <w:bCs/>
                <w:color w:val="000000" w:themeColor="text1"/>
              </w:rPr>
            </w:pPr>
            <w:r w:rsidRPr="002B7EB7">
              <w:rPr>
                <w:rFonts w:eastAsia="標楷體"/>
                <w:bCs/>
                <w:color w:val="000000" w:themeColor="text1"/>
              </w:rPr>
              <w:t>標的證券、證券組合之詳細內容。</w:t>
            </w:r>
          </w:p>
          <w:p w14:paraId="36AD85D4" w14:textId="77777777" w:rsidR="00A114C3" w:rsidRPr="002B7EB7" w:rsidRDefault="00A114C3" w:rsidP="00A114C3">
            <w:pPr>
              <w:numPr>
                <w:ilvl w:val="0"/>
                <w:numId w:val="5"/>
              </w:numPr>
              <w:tabs>
                <w:tab w:val="left" w:pos="-1200"/>
                <w:tab w:val="left" w:pos="32"/>
                <w:tab w:val="left" w:pos="720"/>
                <w:tab w:val="left" w:pos="1680"/>
                <w:tab w:val="left" w:pos="2640"/>
                <w:tab w:val="left" w:pos="3600"/>
                <w:tab w:val="left" w:pos="4560"/>
                <w:tab w:val="left" w:pos="5520"/>
                <w:tab w:val="left" w:pos="6480"/>
                <w:tab w:val="left" w:pos="7440"/>
                <w:tab w:val="left" w:pos="8400"/>
                <w:tab w:val="left" w:pos="9360"/>
                <w:tab w:val="left" w:pos="10320"/>
                <w:tab w:val="left" w:pos="11280"/>
                <w:tab w:val="left" w:pos="12240"/>
                <w:tab w:val="left" w:pos="13200"/>
                <w:tab w:val="left" w:pos="14160"/>
                <w:tab w:val="left" w:pos="15120"/>
                <w:tab w:val="left" w:pos="16080"/>
              </w:tabs>
              <w:suppressAutoHyphens/>
              <w:autoSpaceDE w:val="0"/>
              <w:autoSpaceDN w:val="0"/>
              <w:spacing w:line="400" w:lineRule="atLeast"/>
              <w:ind w:right="152"/>
              <w:jc w:val="both"/>
              <w:textAlignment w:val="baseline"/>
              <w:rPr>
                <w:rFonts w:eastAsia="標楷體"/>
                <w:bCs/>
                <w:color w:val="000000" w:themeColor="text1"/>
              </w:rPr>
            </w:pPr>
            <w:r w:rsidRPr="002B7EB7">
              <w:rPr>
                <w:rFonts w:eastAsia="標楷體"/>
                <w:bCs/>
                <w:color w:val="000000" w:themeColor="text1"/>
              </w:rPr>
              <w:t>認購（售）權證種類、交易單位總數、行使比例、履約價格以及金額等約定條件。</w:t>
            </w:r>
          </w:p>
          <w:p w14:paraId="39F3EA9C" w14:textId="77777777" w:rsidR="00A114C3" w:rsidRPr="002B7EB7" w:rsidRDefault="00A114C3" w:rsidP="00A114C3">
            <w:pPr>
              <w:numPr>
                <w:ilvl w:val="0"/>
                <w:numId w:val="5"/>
              </w:numPr>
              <w:tabs>
                <w:tab w:val="left" w:pos="-1200"/>
                <w:tab w:val="left" w:pos="32"/>
                <w:tab w:val="left" w:pos="720"/>
                <w:tab w:val="left" w:pos="1680"/>
                <w:tab w:val="left" w:pos="2640"/>
                <w:tab w:val="left" w:pos="3600"/>
                <w:tab w:val="left" w:pos="4560"/>
                <w:tab w:val="left" w:pos="5520"/>
                <w:tab w:val="left" w:pos="6480"/>
                <w:tab w:val="left" w:pos="7440"/>
                <w:tab w:val="left" w:pos="8400"/>
                <w:tab w:val="left" w:pos="9360"/>
                <w:tab w:val="left" w:pos="10320"/>
                <w:tab w:val="left" w:pos="11280"/>
                <w:tab w:val="left" w:pos="12240"/>
                <w:tab w:val="left" w:pos="13200"/>
                <w:tab w:val="left" w:pos="14160"/>
                <w:tab w:val="left" w:pos="15120"/>
                <w:tab w:val="left" w:pos="16080"/>
              </w:tabs>
              <w:suppressAutoHyphens/>
              <w:autoSpaceDE w:val="0"/>
              <w:autoSpaceDN w:val="0"/>
              <w:spacing w:line="400" w:lineRule="atLeast"/>
              <w:ind w:right="152"/>
              <w:jc w:val="both"/>
              <w:textAlignment w:val="baseline"/>
              <w:rPr>
                <w:rFonts w:eastAsia="標楷體"/>
                <w:bCs/>
                <w:color w:val="000000" w:themeColor="text1"/>
              </w:rPr>
            </w:pPr>
            <w:r w:rsidRPr="002B7EB7">
              <w:rPr>
                <w:rFonts w:eastAsia="標楷體"/>
                <w:bCs/>
                <w:color w:val="000000" w:themeColor="text1"/>
              </w:rPr>
              <w:t>投資人行使權利請求履約時，其履約給付方式。</w:t>
            </w:r>
            <w:proofErr w:type="gramStart"/>
            <w:r w:rsidRPr="002B7EB7">
              <w:rPr>
                <w:rFonts w:eastAsia="標楷體"/>
                <w:bCs/>
                <w:color w:val="000000" w:themeColor="text1"/>
              </w:rPr>
              <w:t>（</w:t>
            </w:r>
            <w:proofErr w:type="gramEnd"/>
            <w:r w:rsidRPr="002B7EB7">
              <w:rPr>
                <w:rFonts w:eastAsia="標楷體"/>
                <w:bCs/>
                <w:color w:val="000000" w:themeColor="text1"/>
              </w:rPr>
              <w:t>是否符合本中心業務規則第三十五條之七及認購</w:t>
            </w:r>
            <w:proofErr w:type="gramStart"/>
            <w:r w:rsidRPr="002B7EB7">
              <w:rPr>
                <w:rFonts w:eastAsia="標楷體"/>
                <w:bCs/>
                <w:color w:val="000000" w:themeColor="text1"/>
              </w:rPr>
              <w:t>（</w:t>
            </w:r>
            <w:proofErr w:type="gramEnd"/>
            <w:r w:rsidRPr="002B7EB7">
              <w:rPr>
                <w:rFonts w:eastAsia="標楷體"/>
                <w:bCs/>
                <w:color w:val="000000" w:themeColor="text1"/>
              </w:rPr>
              <w:t>售</w:t>
            </w:r>
            <w:proofErr w:type="gramStart"/>
            <w:r w:rsidRPr="002B7EB7">
              <w:rPr>
                <w:rFonts w:eastAsia="標楷體"/>
                <w:bCs/>
                <w:color w:val="000000" w:themeColor="text1"/>
              </w:rPr>
              <w:t>）</w:t>
            </w:r>
            <w:proofErr w:type="gramEnd"/>
            <w:r w:rsidRPr="002B7EB7">
              <w:rPr>
                <w:rFonts w:eastAsia="標楷體"/>
                <w:bCs/>
                <w:color w:val="000000" w:themeColor="text1"/>
              </w:rPr>
              <w:t>權證買賣辦法第二條之</w:t>
            </w:r>
            <w:proofErr w:type="gramStart"/>
            <w:r w:rsidRPr="002B7EB7">
              <w:rPr>
                <w:rFonts w:eastAsia="標楷體"/>
                <w:bCs/>
                <w:color w:val="000000" w:themeColor="text1"/>
              </w:rPr>
              <w:t>一</w:t>
            </w:r>
            <w:proofErr w:type="gramEnd"/>
            <w:r w:rsidRPr="002B7EB7">
              <w:rPr>
                <w:rFonts w:eastAsia="標楷體"/>
                <w:bCs/>
                <w:color w:val="000000" w:themeColor="text1"/>
              </w:rPr>
              <w:t>有關議約型權證履約之規定</w:t>
            </w:r>
            <w:proofErr w:type="gramStart"/>
            <w:r w:rsidRPr="002B7EB7">
              <w:rPr>
                <w:rFonts w:eastAsia="標楷體"/>
                <w:bCs/>
                <w:color w:val="000000" w:themeColor="text1"/>
              </w:rPr>
              <w:t>）</w:t>
            </w:r>
            <w:proofErr w:type="gramEnd"/>
          </w:p>
          <w:p w14:paraId="5D7C3F48" w14:textId="77777777" w:rsidR="00A114C3" w:rsidRPr="002B7EB7" w:rsidRDefault="00A114C3" w:rsidP="00A114C3">
            <w:pPr>
              <w:numPr>
                <w:ilvl w:val="0"/>
                <w:numId w:val="5"/>
              </w:numPr>
              <w:tabs>
                <w:tab w:val="left" w:pos="-1200"/>
                <w:tab w:val="left" w:pos="32"/>
                <w:tab w:val="left" w:pos="720"/>
                <w:tab w:val="left" w:pos="1680"/>
                <w:tab w:val="left" w:pos="2640"/>
                <w:tab w:val="left" w:pos="3600"/>
                <w:tab w:val="left" w:pos="4560"/>
                <w:tab w:val="left" w:pos="5520"/>
                <w:tab w:val="left" w:pos="6480"/>
                <w:tab w:val="left" w:pos="7440"/>
                <w:tab w:val="left" w:pos="8400"/>
                <w:tab w:val="left" w:pos="9360"/>
                <w:tab w:val="left" w:pos="10320"/>
                <w:tab w:val="left" w:pos="11280"/>
                <w:tab w:val="left" w:pos="12240"/>
                <w:tab w:val="left" w:pos="13200"/>
                <w:tab w:val="left" w:pos="14160"/>
                <w:tab w:val="left" w:pos="15120"/>
                <w:tab w:val="left" w:pos="16080"/>
              </w:tabs>
              <w:suppressAutoHyphens/>
              <w:autoSpaceDE w:val="0"/>
              <w:autoSpaceDN w:val="0"/>
              <w:spacing w:line="400" w:lineRule="atLeast"/>
              <w:ind w:right="152"/>
              <w:jc w:val="both"/>
              <w:textAlignment w:val="baseline"/>
              <w:rPr>
                <w:rFonts w:eastAsia="標楷體"/>
                <w:bCs/>
                <w:color w:val="000000" w:themeColor="text1"/>
              </w:rPr>
            </w:pPr>
            <w:r w:rsidRPr="002B7EB7">
              <w:rPr>
                <w:rFonts w:eastAsia="標楷體"/>
                <w:bCs/>
                <w:color w:val="000000" w:themeColor="text1"/>
              </w:rPr>
              <w:t>前款之履約方式如係以現金結算，其現金結算額所</w:t>
            </w:r>
            <w:proofErr w:type="gramStart"/>
            <w:r w:rsidRPr="002B7EB7">
              <w:rPr>
                <w:rFonts w:eastAsia="標楷體"/>
                <w:bCs/>
                <w:color w:val="000000" w:themeColor="text1"/>
              </w:rPr>
              <w:t>採</w:t>
            </w:r>
            <w:proofErr w:type="gramEnd"/>
            <w:r w:rsidRPr="002B7EB7">
              <w:rPr>
                <w:rFonts w:eastAsia="標楷體"/>
                <w:bCs/>
                <w:color w:val="000000" w:themeColor="text1"/>
              </w:rPr>
              <w:t>行標的證券收市價決定方式。</w:t>
            </w:r>
          </w:p>
          <w:p w14:paraId="02949A7B" w14:textId="77777777" w:rsidR="00A114C3" w:rsidRPr="002B7EB7" w:rsidRDefault="00A114C3" w:rsidP="00A114C3">
            <w:pPr>
              <w:numPr>
                <w:ilvl w:val="0"/>
                <w:numId w:val="5"/>
              </w:numPr>
              <w:tabs>
                <w:tab w:val="left" w:pos="-1200"/>
                <w:tab w:val="left" w:pos="32"/>
                <w:tab w:val="left" w:pos="720"/>
                <w:tab w:val="left" w:pos="1680"/>
                <w:tab w:val="left" w:pos="2640"/>
                <w:tab w:val="left" w:pos="3600"/>
                <w:tab w:val="left" w:pos="4560"/>
                <w:tab w:val="left" w:pos="5520"/>
                <w:tab w:val="left" w:pos="6480"/>
                <w:tab w:val="left" w:pos="7440"/>
                <w:tab w:val="left" w:pos="8400"/>
                <w:tab w:val="left" w:pos="9360"/>
                <w:tab w:val="left" w:pos="10320"/>
                <w:tab w:val="left" w:pos="11280"/>
                <w:tab w:val="left" w:pos="12240"/>
                <w:tab w:val="left" w:pos="13200"/>
                <w:tab w:val="left" w:pos="14160"/>
                <w:tab w:val="left" w:pos="15120"/>
                <w:tab w:val="left" w:pos="16080"/>
              </w:tabs>
              <w:suppressAutoHyphens/>
              <w:autoSpaceDE w:val="0"/>
              <w:autoSpaceDN w:val="0"/>
              <w:spacing w:line="400" w:lineRule="atLeast"/>
              <w:ind w:right="152"/>
              <w:jc w:val="both"/>
              <w:textAlignment w:val="baseline"/>
              <w:rPr>
                <w:rFonts w:eastAsia="標楷體"/>
                <w:bCs/>
                <w:color w:val="000000" w:themeColor="text1"/>
              </w:rPr>
            </w:pPr>
            <w:r w:rsidRPr="002B7EB7">
              <w:rPr>
                <w:rFonts w:eastAsia="標楷體"/>
                <w:bCs/>
                <w:color w:val="000000" w:themeColor="text1"/>
              </w:rPr>
              <w:t>關於成交、履約、解約或到期時相關價金之收付方式及期限。</w:t>
            </w:r>
          </w:p>
          <w:p w14:paraId="19F714B0" w14:textId="77777777" w:rsidR="00A114C3" w:rsidRPr="002B7EB7" w:rsidRDefault="00A114C3" w:rsidP="00A114C3">
            <w:pPr>
              <w:numPr>
                <w:ilvl w:val="0"/>
                <w:numId w:val="5"/>
              </w:numPr>
              <w:tabs>
                <w:tab w:val="left" w:pos="-1200"/>
                <w:tab w:val="left" w:pos="32"/>
                <w:tab w:val="left" w:pos="720"/>
                <w:tab w:val="left" w:pos="1680"/>
                <w:tab w:val="left" w:pos="2640"/>
                <w:tab w:val="left" w:pos="3600"/>
                <w:tab w:val="left" w:pos="4560"/>
                <w:tab w:val="left" w:pos="5520"/>
                <w:tab w:val="left" w:pos="6480"/>
                <w:tab w:val="left" w:pos="7440"/>
                <w:tab w:val="left" w:pos="8400"/>
                <w:tab w:val="left" w:pos="9360"/>
                <w:tab w:val="left" w:pos="10320"/>
                <w:tab w:val="left" w:pos="11280"/>
                <w:tab w:val="left" w:pos="12240"/>
                <w:tab w:val="left" w:pos="13200"/>
                <w:tab w:val="left" w:pos="14160"/>
                <w:tab w:val="left" w:pos="15120"/>
                <w:tab w:val="left" w:pos="16080"/>
              </w:tabs>
              <w:suppressAutoHyphens/>
              <w:autoSpaceDE w:val="0"/>
              <w:autoSpaceDN w:val="0"/>
              <w:spacing w:line="400" w:lineRule="atLeast"/>
              <w:ind w:right="152"/>
              <w:jc w:val="both"/>
              <w:textAlignment w:val="baseline"/>
              <w:rPr>
                <w:rFonts w:eastAsia="標楷體"/>
                <w:bCs/>
                <w:color w:val="000000" w:themeColor="text1"/>
              </w:rPr>
            </w:pPr>
            <w:r w:rsidRPr="002B7EB7">
              <w:rPr>
                <w:rFonts w:eastAsia="標楷體"/>
                <w:bCs/>
                <w:color w:val="000000" w:themeColor="text1"/>
              </w:rPr>
              <w:t>請求履約或解約之程序等相關條款。</w:t>
            </w:r>
          </w:p>
          <w:p w14:paraId="36E159AA" w14:textId="77777777" w:rsidR="00A114C3" w:rsidRPr="002B7EB7" w:rsidRDefault="00A114C3" w:rsidP="00A114C3">
            <w:pPr>
              <w:numPr>
                <w:ilvl w:val="0"/>
                <w:numId w:val="5"/>
              </w:numPr>
              <w:tabs>
                <w:tab w:val="left" w:pos="-1200"/>
                <w:tab w:val="left" w:pos="32"/>
                <w:tab w:val="left" w:pos="720"/>
                <w:tab w:val="left" w:pos="1680"/>
                <w:tab w:val="left" w:pos="2640"/>
                <w:tab w:val="left" w:pos="3600"/>
                <w:tab w:val="left" w:pos="4560"/>
                <w:tab w:val="left" w:pos="5520"/>
                <w:tab w:val="left" w:pos="6480"/>
                <w:tab w:val="left" w:pos="7440"/>
                <w:tab w:val="left" w:pos="8400"/>
                <w:tab w:val="left" w:pos="9360"/>
                <w:tab w:val="left" w:pos="10320"/>
                <w:tab w:val="left" w:pos="11280"/>
                <w:tab w:val="left" w:pos="12240"/>
                <w:tab w:val="left" w:pos="13200"/>
                <w:tab w:val="left" w:pos="14160"/>
                <w:tab w:val="left" w:pos="15120"/>
                <w:tab w:val="left" w:pos="16080"/>
              </w:tabs>
              <w:suppressAutoHyphens/>
              <w:autoSpaceDE w:val="0"/>
              <w:autoSpaceDN w:val="0"/>
              <w:spacing w:line="400" w:lineRule="atLeast"/>
              <w:ind w:right="152"/>
              <w:jc w:val="both"/>
              <w:textAlignment w:val="baseline"/>
              <w:rPr>
                <w:rFonts w:eastAsia="標楷體"/>
                <w:bCs/>
                <w:color w:val="000000" w:themeColor="text1"/>
              </w:rPr>
            </w:pPr>
            <w:r w:rsidRPr="002B7EB7">
              <w:rPr>
                <w:rFonts w:eastAsia="標楷體"/>
                <w:bCs/>
                <w:color w:val="000000" w:themeColor="text1"/>
              </w:rPr>
              <w:t>議約型認購權證到期具履約價值時，如投資人未及時申請履約，其處理方式之約定。</w:t>
            </w:r>
          </w:p>
          <w:p w14:paraId="7E39A24D" w14:textId="77777777" w:rsidR="00A114C3" w:rsidRPr="002B7EB7" w:rsidRDefault="00A114C3" w:rsidP="00A114C3">
            <w:pPr>
              <w:numPr>
                <w:ilvl w:val="0"/>
                <w:numId w:val="5"/>
              </w:numPr>
              <w:tabs>
                <w:tab w:val="left" w:pos="-1200"/>
                <w:tab w:val="left" w:pos="32"/>
                <w:tab w:val="left" w:pos="720"/>
                <w:tab w:val="left" w:pos="1680"/>
                <w:tab w:val="left" w:pos="2640"/>
                <w:tab w:val="left" w:pos="3600"/>
                <w:tab w:val="left" w:pos="4560"/>
                <w:tab w:val="left" w:pos="5520"/>
                <w:tab w:val="left" w:pos="6480"/>
                <w:tab w:val="left" w:pos="7440"/>
                <w:tab w:val="left" w:pos="8400"/>
                <w:tab w:val="left" w:pos="9360"/>
                <w:tab w:val="left" w:pos="10320"/>
                <w:tab w:val="left" w:pos="11280"/>
                <w:tab w:val="left" w:pos="12240"/>
                <w:tab w:val="left" w:pos="13200"/>
                <w:tab w:val="left" w:pos="14160"/>
                <w:tab w:val="left" w:pos="15120"/>
                <w:tab w:val="left" w:pos="16080"/>
              </w:tabs>
              <w:suppressAutoHyphens/>
              <w:autoSpaceDE w:val="0"/>
              <w:autoSpaceDN w:val="0"/>
              <w:spacing w:line="400" w:lineRule="atLeast"/>
              <w:ind w:right="152"/>
              <w:jc w:val="both"/>
              <w:textAlignment w:val="baseline"/>
              <w:rPr>
                <w:rFonts w:eastAsia="標楷體"/>
                <w:bCs/>
                <w:color w:val="000000" w:themeColor="text1"/>
              </w:rPr>
            </w:pPr>
            <w:r w:rsidRPr="002B7EB7">
              <w:rPr>
                <w:rFonts w:eastAsia="標楷體"/>
                <w:bCs/>
                <w:color w:val="000000" w:themeColor="text1"/>
              </w:rPr>
              <w:t>標的證券發行公司辦理配發股息、紅利、增資、減資、股票分割、合併及其他相關事項時，調整其認購（售）權證履約價格或相關事項之約定。</w:t>
            </w:r>
          </w:p>
          <w:p w14:paraId="0414521F" w14:textId="77777777" w:rsidR="00A114C3" w:rsidRPr="002B7EB7" w:rsidRDefault="00A114C3" w:rsidP="002A0B90">
            <w:pPr>
              <w:autoSpaceDE w:val="0"/>
              <w:spacing w:line="400" w:lineRule="atLeast"/>
              <w:ind w:left="1315" w:right="152" w:hanging="727"/>
              <w:jc w:val="both"/>
              <w:rPr>
                <w:rFonts w:eastAsia="標楷體"/>
                <w:bCs/>
                <w:color w:val="000000" w:themeColor="text1"/>
              </w:rPr>
            </w:pPr>
            <w:r w:rsidRPr="002B7EB7">
              <w:rPr>
                <w:rFonts w:eastAsia="標楷體"/>
                <w:bCs/>
                <w:color w:val="000000" w:themeColor="text1"/>
              </w:rPr>
              <w:t>(</w:t>
            </w:r>
            <w:r w:rsidRPr="002B7EB7">
              <w:rPr>
                <w:rFonts w:eastAsia="標楷體"/>
                <w:bCs/>
                <w:color w:val="000000" w:themeColor="text1"/>
              </w:rPr>
              <w:t>十一</w:t>
            </w:r>
            <w:r w:rsidRPr="002B7EB7">
              <w:rPr>
                <w:rFonts w:eastAsia="標楷體"/>
                <w:bCs/>
                <w:color w:val="000000" w:themeColor="text1"/>
              </w:rPr>
              <w:t>)</w:t>
            </w:r>
            <w:r w:rsidRPr="002B7EB7">
              <w:rPr>
                <w:rFonts w:eastAsia="標楷體"/>
                <w:bCs/>
                <w:color w:val="000000" w:themeColor="text1"/>
              </w:rPr>
              <w:t>標的證券發行公司有公司合併、變更交易方法、停止買賣或股票終止上市、櫃情事時之處理方式。</w:t>
            </w:r>
          </w:p>
          <w:p w14:paraId="1A9F2357" w14:textId="77777777" w:rsidR="00A114C3" w:rsidRPr="002B7EB7" w:rsidRDefault="00A114C3" w:rsidP="002A0B90">
            <w:pPr>
              <w:autoSpaceDE w:val="0"/>
              <w:spacing w:line="400" w:lineRule="atLeast"/>
              <w:ind w:left="1315" w:right="152" w:hanging="727"/>
              <w:jc w:val="both"/>
              <w:rPr>
                <w:rFonts w:eastAsia="標楷體"/>
                <w:bCs/>
                <w:color w:val="000000" w:themeColor="text1"/>
              </w:rPr>
            </w:pPr>
            <w:r w:rsidRPr="002B7EB7">
              <w:rPr>
                <w:rFonts w:eastAsia="標楷體"/>
                <w:bCs/>
                <w:color w:val="000000" w:themeColor="text1"/>
              </w:rPr>
              <w:t>(</w:t>
            </w:r>
            <w:r w:rsidRPr="002B7EB7">
              <w:rPr>
                <w:rFonts w:eastAsia="標楷體"/>
                <w:bCs/>
                <w:color w:val="000000" w:themeColor="text1"/>
              </w:rPr>
              <w:t>十二</w:t>
            </w:r>
            <w:r w:rsidRPr="002B7EB7">
              <w:rPr>
                <w:rFonts w:eastAsia="標楷體"/>
                <w:bCs/>
                <w:color w:val="000000" w:themeColor="text1"/>
              </w:rPr>
              <w:t>)</w:t>
            </w:r>
            <w:r w:rsidRPr="002B7EB7">
              <w:rPr>
                <w:rFonts w:eastAsia="標楷體"/>
                <w:bCs/>
                <w:color w:val="000000" w:themeColor="text1"/>
              </w:rPr>
              <w:t>證券商因營業讓與或停止買賣業務時之處理方式。</w:t>
            </w:r>
          </w:p>
          <w:p w14:paraId="661B7D4C" w14:textId="77777777" w:rsidR="00A114C3" w:rsidRPr="002B7EB7" w:rsidRDefault="00A114C3" w:rsidP="002A0B90">
            <w:pPr>
              <w:autoSpaceDE w:val="0"/>
              <w:spacing w:line="400" w:lineRule="atLeast"/>
              <w:ind w:left="1315" w:right="152" w:hanging="727"/>
              <w:jc w:val="both"/>
              <w:rPr>
                <w:rFonts w:eastAsia="標楷體"/>
                <w:bCs/>
                <w:color w:val="000000" w:themeColor="text1"/>
              </w:rPr>
            </w:pPr>
            <w:r w:rsidRPr="002B7EB7">
              <w:rPr>
                <w:rFonts w:eastAsia="標楷體"/>
                <w:bCs/>
                <w:color w:val="000000" w:themeColor="text1"/>
              </w:rPr>
              <w:t>(</w:t>
            </w:r>
            <w:r w:rsidRPr="002B7EB7">
              <w:rPr>
                <w:rFonts w:eastAsia="標楷體"/>
                <w:bCs/>
                <w:color w:val="000000" w:themeColor="text1"/>
              </w:rPr>
              <w:t>十三</w:t>
            </w:r>
            <w:r w:rsidRPr="002B7EB7">
              <w:rPr>
                <w:rFonts w:eastAsia="標楷體"/>
                <w:bCs/>
                <w:color w:val="000000" w:themeColor="text1"/>
              </w:rPr>
              <w:t>)</w:t>
            </w:r>
            <w:r w:rsidRPr="002B7EB7">
              <w:rPr>
                <w:rFonts w:eastAsia="標楷體"/>
                <w:bCs/>
                <w:color w:val="000000" w:themeColor="text1"/>
              </w:rPr>
              <w:t>交易契約禁止轉讓之條款。</w:t>
            </w:r>
          </w:p>
          <w:p w14:paraId="47A2AB65" w14:textId="77777777" w:rsidR="00A114C3" w:rsidRPr="002B7EB7" w:rsidRDefault="00A114C3" w:rsidP="002A0B90">
            <w:pPr>
              <w:autoSpaceDE w:val="0"/>
              <w:spacing w:line="400" w:lineRule="atLeast"/>
              <w:ind w:left="1315" w:right="152" w:hanging="727"/>
              <w:jc w:val="both"/>
              <w:rPr>
                <w:rFonts w:eastAsia="標楷體"/>
                <w:bCs/>
                <w:color w:val="000000" w:themeColor="text1"/>
              </w:rPr>
            </w:pPr>
            <w:r w:rsidRPr="002B7EB7">
              <w:rPr>
                <w:rFonts w:eastAsia="標楷體"/>
                <w:bCs/>
                <w:color w:val="000000" w:themeColor="text1"/>
              </w:rPr>
              <w:t>(</w:t>
            </w:r>
            <w:r w:rsidRPr="002B7EB7">
              <w:rPr>
                <w:rFonts w:eastAsia="標楷體"/>
                <w:bCs/>
                <w:color w:val="000000" w:themeColor="text1"/>
              </w:rPr>
              <w:t>十四</w:t>
            </w:r>
            <w:r w:rsidRPr="002B7EB7">
              <w:rPr>
                <w:rFonts w:eastAsia="標楷體"/>
                <w:bCs/>
                <w:color w:val="000000" w:themeColor="text1"/>
              </w:rPr>
              <w:t>)</w:t>
            </w:r>
            <w:r w:rsidRPr="002B7EB7">
              <w:rPr>
                <w:rFonts w:eastAsia="標楷體"/>
                <w:bCs/>
                <w:color w:val="000000" w:themeColor="text1"/>
              </w:rPr>
              <w:t>交易契約未獲櫃檯買賣中心同意時，投資人已繳交價款之返還方式與相關約定。</w:t>
            </w:r>
          </w:p>
          <w:p w14:paraId="469612EA" w14:textId="77777777" w:rsidR="00A114C3" w:rsidRPr="002B7EB7" w:rsidRDefault="00A114C3" w:rsidP="002A0B90">
            <w:pPr>
              <w:autoSpaceDE w:val="0"/>
              <w:spacing w:line="400" w:lineRule="atLeast"/>
              <w:ind w:left="1315" w:right="152" w:hanging="727"/>
              <w:jc w:val="both"/>
              <w:rPr>
                <w:rFonts w:eastAsia="標楷體"/>
                <w:bCs/>
                <w:color w:val="000000" w:themeColor="text1"/>
              </w:rPr>
            </w:pPr>
            <w:r w:rsidRPr="002B7EB7">
              <w:rPr>
                <w:rFonts w:eastAsia="標楷體"/>
                <w:bCs/>
                <w:color w:val="000000" w:themeColor="text1"/>
              </w:rPr>
              <w:t>(</w:t>
            </w:r>
            <w:r w:rsidRPr="002B7EB7">
              <w:rPr>
                <w:rFonts w:eastAsia="標楷體"/>
                <w:bCs/>
                <w:color w:val="000000" w:themeColor="text1"/>
              </w:rPr>
              <w:t>十五</w:t>
            </w:r>
            <w:r w:rsidRPr="002B7EB7">
              <w:rPr>
                <w:rFonts w:eastAsia="標楷體"/>
                <w:bCs/>
                <w:color w:val="000000" w:themeColor="text1"/>
              </w:rPr>
              <w:t>)</w:t>
            </w:r>
            <w:r w:rsidRPr="002B7EB7">
              <w:rPr>
                <w:rFonts w:eastAsia="標楷體"/>
                <w:bCs/>
                <w:color w:val="000000" w:themeColor="text1"/>
              </w:rPr>
              <w:t>如遇交易糾紛情事時，投資人之申訴管道或有法律爭議適用之</w:t>
            </w:r>
            <w:proofErr w:type="gramStart"/>
            <w:r w:rsidRPr="002B7EB7">
              <w:rPr>
                <w:rFonts w:eastAsia="標楷體"/>
                <w:bCs/>
                <w:color w:val="000000" w:themeColor="text1"/>
              </w:rPr>
              <w:t>準</w:t>
            </w:r>
            <w:proofErr w:type="gramEnd"/>
            <w:r w:rsidRPr="002B7EB7">
              <w:rPr>
                <w:rFonts w:eastAsia="標楷體"/>
                <w:bCs/>
                <w:color w:val="000000" w:themeColor="text1"/>
              </w:rPr>
              <w:t>據法及管轄法院。</w:t>
            </w:r>
          </w:p>
          <w:p w14:paraId="066070F4" w14:textId="77777777" w:rsidR="00A114C3" w:rsidRPr="002B7EB7" w:rsidRDefault="00A114C3" w:rsidP="002A0B90">
            <w:pPr>
              <w:autoSpaceDE w:val="0"/>
              <w:spacing w:line="400" w:lineRule="atLeast"/>
              <w:ind w:left="1315" w:right="152" w:hanging="727"/>
              <w:jc w:val="both"/>
              <w:rPr>
                <w:rFonts w:eastAsia="標楷體"/>
                <w:bCs/>
                <w:color w:val="000000" w:themeColor="text1"/>
              </w:rPr>
            </w:pPr>
            <w:r w:rsidRPr="002B7EB7">
              <w:rPr>
                <w:rFonts w:eastAsia="標楷體"/>
                <w:bCs/>
                <w:color w:val="000000" w:themeColor="text1"/>
              </w:rPr>
              <w:t>(</w:t>
            </w:r>
            <w:r w:rsidRPr="002B7EB7">
              <w:rPr>
                <w:rFonts w:eastAsia="標楷體"/>
                <w:bCs/>
                <w:color w:val="000000" w:themeColor="text1"/>
              </w:rPr>
              <w:t>十六</w:t>
            </w:r>
            <w:r w:rsidRPr="002B7EB7">
              <w:rPr>
                <w:rFonts w:eastAsia="標楷體"/>
                <w:bCs/>
                <w:color w:val="000000" w:themeColor="text1"/>
              </w:rPr>
              <w:t>)</w:t>
            </w:r>
            <w:r w:rsidRPr="002B7EB7">
              <w:rPr>
                <w:rFonts w:eastAsia="標楷體"/>
                <w:bCs/>
                <w:color w:val="000000" w:themeColor="text1"/>
              </w:rPr>
              <w:t>違約處理與賠償條款。</w:t>
            </w:r>
          </w:p>
          <w:p w14:paraId="3CDA013B" w14:textId="77777777" w:rsidR="00A114C3" w:rsidRPr="002B7EB7" w:rsidRDefault="00A114C3" w:rsidP="002A0B90">
            <w:pPr>
              <w:autoSpaceDE w:val="0"/>
              <w:spacing w:line="400" w:lineRule="atLeast"/>
              <w:ind w:left="1315" w:right="152" w:hanging="727"/>
              <w:jc w:val="both"/>
              <w:rPr>
                <w:rFonts w:eastAsia="標楷體"/>
                <w:bCs/>
                <w:color w:val="000000" w:themeColor="text1"/>
              </w:rPr>
            </w:pPr>
            <w:r w:rsidRPr="002B7EB7">
              <w:rPr>
                <w:rFonts w:eastAsia="標楷體"/>
                <w:bCs/>
                <w:color w:val="000000" w:themeColor="text1"/>
              </w:rPr>
              <w:t>(</w:t>
            </w:r>
            <w:r w:rsidRPr="002B7EB7">
              <w:rPr>
                <w:rFonts w:eastAsia="標楷體"/>
                <w:bCs/>
                <w:color w:val="000000" w:themeColor="text1"/>
              </w:rPr>
              <w:t>十七</w:t>
            </w:r>
            <w:r w:rsidRPr="002B7EB7">
              <w:rPr>
                <w:rFonts w:eastAsia="標楷體"/>
                <w:bCs/>
                <w:color w:val="000000" w:themeColor="text1"/>
              </w:rPr>
              <w:t>)</w:t>
            </w:r>
            <w:r w:rsidRPr="002B7EB7">
              <w:rPr>
                <w:rFonts w:eastAsia="標楷體"/>
                <w:bCs/>
                <w:color w:val="000000" w:themeColor="text1"/>
              </w:rPr>
              <w:t>其他約定事項是否有不合理或不符規定情事。</w:t>
            </w:r>
          </w:p>
          <w:p w14:paraId="126DFDF1" w14:textId="77777777" w:rsidR="00A114C3" w:rsidRPr="002B7EB7" w:rsidRDefault="00A114C3" w:rsidP="002A0B9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s>
              <w:autoSpaceDE w:val="0"/>
              <w:spacing w:line="400" w:lineRule="atLeast"/>
              <w:ind w:right="-9"/>
              <w:jc w:val="both"/>
              <w:rPr>
                <w:rFonts w:eastAsia="標楷體"/>
                <w:bCs/>
                <w:color w:val="000000" w:themeColor="text1"/>
              </w:rPr>
            </w:pPr>
          </w:p>
        </w:tc>
        <w:tc>
          <w:tcPr>
            <w:tcW w:w="162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20B3C14C" w14:textId="77777777" w:rsidR="00A114C3" w:rsidRPr="002B7EB7" w:rsidRDefault="00A114C3" w:rsidP="002A0B90">
            <w:pPr>
              <w:tabs>
                <w:tab w:val="left" w:pos="5220"/>
              </w:tabs>
              <w:spacing w:line="400" w:lineRule="atLeast"/>
              <w:rPr>
                <w:rFonts w:eastAsia="標楷體"/>
                <w:bCs/>
                <w:color w:val="000000" w:themeColor="text1"/>
                <w:sz w:val="22"/>
              </w:rPr>
            </w:pPr>
          </w:p>
          <w:p w14:paraId="2B0B43AC" w14:textId="77777777" w:rsidR="00A114C3" w:rsidRPr="002B7EB7" w:rsidRDefault="00A114C3" w:rsidP="002A0B90">
            <w:pPr>
              <w:tabs>
                <w:tab w:val="left" w:pos="5220"/>
              </w:tabs>
              <w:spacing w:line="400" w:lineRule="atLeast"/>
              <w:jc w:val="both"/>
              <w:rPr>
                <w:rFonts w:eastAsia="標楷體"/>
                <w:bCs/>
                <w:color w:val="000000" w:themeColor="text1"/>
                <w:sz w:val="22"/>
              </w:rPr>
            </w:pPr>
          </w:p>
          <w:p w14:paraId="6A2FE6C3" w14:textId="77777777" w:rsidR="00A114C3" w:rsidRPr="002B7EB7" w:rsidRDefault="00A114C3" w:rsidP="002A0B90">
            <w:pPr>
              <w:tabs>
                <w:tab w:val="left" w:pos="5220"/>
              </w:tabs>
              <w:spacing w:line="400" w:lineRule="atLeast"/>
              <w:jc w:val="both"/>
              <w:rPr>
                <w:rFonts w:eastAsia="標楷體"/>
                <w:bCs/>
                <w:color w:val="000000" w:themeColor="text1"/>
                <w:sz w:val="22"/>
              </w:rPr>
            </w:pPr>
          </w:p>
          <w:p w14:paraId="4AB4B968" w14:textId="77777777" w:rsidR="00A114C3" w:rsidRPr="002B7EB7" w:rsidRDefault="00A114C3" w:rsidP="002A0B90">
            <w:pPr>
              <w:tabs>
                <w:tab w:val="left" w:pos="5220"/>
              </w:tabs>
              <w:spacing w:line="400" w:lineRule="atLeast"/>
              <w:jc w:val="both"/>
              <w:rPr>
                <w:rFonts w:eastAsia="標楷體"/>
                <w:bCs/>
                <w:color w:val="000000" w:themeColor="text1"/>
                <w:sz w:val="22"/>
              </w:rPr>
            </w:pPr>
          </w:p>
          <w:p w14:paraId="12399A35" w14:textId="77777777" w:rsidR="00A114C3" w:rsidRPr="002B7EB7" w:rsidRDefault="00A114C3" w:rsidP="002A0B90">
            <w:pPr>
              <w:tabs>
                <w:tab w:val="left" w:pos="5220"/>
              </w:tabs>
              <w:spacing w:line="400" w:lineRule="atLeast"/>
              <w:jc w:val="both"/>
              <w:rPr>
                <w:rFonts w:eastAsia="標楷體"/>
                <w:bCs/>
                <w:color w:val="000000" w:themeColor="text1"/>
                <w:sz w:val="22"/>
              </w:rPr>
            </w:pPr>
          </w:p>
          <w:p w14:paraId="46DDAB69" w14:textId="77777777" w:rsidR="00A114C3" w:rsidRPr="002B7EB7" w:rsidRDefault="00A114C3" w:rsidP="002A0B90">
            <w:pPr>
              <w:tabs>
                <w:tab w:val="left" w:pos="5220"/>
              </w:tabs>
              <w:spacing w:line="400" w:lineRule="atLeast"/>
              <w:jc w:val="both"/>
              <w:rPr>
                <w:rFonts w:eastAsia="標楷體"/>
                <w:bCs/>
                <w:color w:val="000000" w:themeColor="text1"/>
                <w:sz w:val="22"/>
              </w:rPr>
            </w:pPr>
          </w:p>
          <w:p w14:paraId="4105B1E9" w14:textId="77777777" w:rsidR="00A114C3" w:rsidRPr="002B7EB7" w:rsidRDefault="00A114C3" w:rsidP="002A0B90">
            <w:pPr>
              <w:tabs>
                <w:tab w:val="left" w:pos="5220"/>
              </w:tabs>
              <w:spacing w:line="400" w:lineRule="atLeast"/>
              <w:jc w:val="both"/>
              <w:rPr>
                <w:rFonts w:eastAsia="標楷體"/>
                <w:bCs/>
                <w:color w:val="000000" w:themeColor="text1"/>
                <w:sz w:val="22"/>
              </w:rPr>
            </w:pPr>
          </w:p>
          <w:p w14:paraId="12871E86" w14:textId="77777777" w:rsidR="00A114C3" w:rsidRPr="002B7EB7" w:rsidRDefault="00A114C3" w:rsidP="002A0B90">
            <w:pPr>
              <w:tabs>
                <w:tab w:val="left" w:pos="5220"/>
              </w:tabs>
              <w:spacing w:line="400" w:lineRule="atLeast"/>
              <w:jc w:val="both"/>
              <w:rPr>
                <w:rFonts w:eastAsia="標楷體"/>
                <w:bCs/>
                <w:color w:val="000000" w:themeColor="text1"/>
                <w:sz w:val="22"/>
              </w:rPr>
            </w:pPr>
          </w:p>
          <w:p w14:paraId="64AABD37" w14:textId="77777777" w:rsidR="00A114C3" w:rsidRPr="002B7EB7" w:rsidRDefault="00A114C3" w:rsidP="002A0B90">
            <w:pPr>
              <w:tabs>
                <w:tab w:val="left" w:pos="5220"/>
              </w:tabs>
              <w:spacing w:line="400" w:lineRule="atLeast"/>
              <w:jc w:val="both"/>
              <w:rPr>
                <w:rFonts w:eastAsia="標楷體"/>
                <w:bCs/>
                <w:color w:val="000000" w:themeColor="text1"/>
                <w:sz w:val="22"/>
              </w:rPr>
            </w:pPr>
          </w:p>
          <w:p w14:paraId="0529CC36" w14:textId="77777777" w:rsidR="00A114C3" w:rsidRPr="002B7EB7" w:rsidRDefault="00A114C3" w:rsidP="002A0B90">
            <w:pPr>
              <w:tabs>
                <w:tab w:val="left" w:pos="5220"/>
              </w:tabs>
              <w:spacing w:line="400" w:lineRule="atLeast"/>
              <w:jc w:val="both"/>
              <w:rPr>
                <w:rFonts w:eastAsia="標楷體"/>
                <w:bCs/>
                <w:color w:val="000000" w:themeColor="text1"/>
                <w:sz w:val="22"/>
              </w:rPr>
            </w:pPr>
          </w:p>
          <w:p w14:paraId="2F8BF64E" w14:textId="77777777" w:rsidR="00A114C3" w:rsidRPr="002B7EB7" w:rsidRDefault="00A114C3" w:rsidP="002A0B90">
            <w:pPr>
              <w:tabs>
                <w:tab w:val="left" w:pos="5220"/>
              </w:tabs>
              <w:spacing w:line="400" w:lineRule="atLeast"/>
              <w:jc w:val="both"/>
              <w:rPr>
                <w:rFonts w:eastAsia="標楷體"/>
                <w:bCs/>
                <w:color w:val="000000" w:themeColor="text1"/>
                <w:sz w:val="22"/>
              </w:rPr>
            </w:pPr>
          </w:p>
          <w:p w14:paraId="2774DB24" w14:textId="77777777" w:rsidR="00A114C3" w:rsidRPr="002B7EB7" w:rsidRDefault="00A114C3" w:rsidP="002A0B90">
            <w:pPr>
              <w:tabs>
                <w:tab w:val="left" w:pos="5220"/>
              </w:tabs>
              <w:spacing w:line="400" w:lineRule="atLeast"/>
              <w:jc w:val="both"/>
              <w:rPr>
                <w:rFonts w:eastAsia="標楷體"/>
                <w:bCs/>
                <w:color w:val="000000" w:themeColor="text1"/>
                <w:sz w:val="22"/>
              </w:rPr>
            </w:pPr>
          </w:p>
          <w:p w14:paraId="4907AE86" w14:textId="77777777" w:rsidR="00A114C3" w:rsidRPr="002B7EB7" w:rsidRDefault="00A114C3" w:rsidP="002A0B90">
            <w:pPr>
              <w:tabs>
                <w:tab w:val="left" w:pos="5220"/>
              </w:tabs>
              <w:spacing w:line="400" w:lineRule="atLeast"/>
              <w:jc w:val="both"/>
              <w:rPr>
                <w:rFonts w:eastAsia="標楷體"/>
                <w:bCs/>
                <w:color w:val="000000" w:themeColor="text1"/>
                <w:sz w:val="22"/>
              </w:rPr>
            </w:pPr>
          </w:p>
          <w:p w14:paraId="46BF183B" w14:textId="77777777" w:rsidR="00A114C3" w:rsidRPr="002B7EB7" w:rsidRDefault="00A114C3" w:rsidP="002A0B90">
            <w:pPr>
              <w:tabs>
                <w:tab w:val="left" w:pos="5220"/>
              </w:tabs>
              <w:spacing w:line="400" w:lineRule="atLeast"/>
              <w:jc w:val="both"/>
              <w:rPr>
                <w:rFonts w:eastAsia="標楷體"/>
                <w:bCs/>
                <w:color w:val="000000" w:themeColor="text1"/>
                <w:sz w:val="22"/>
              </w:rPr>
            </w:pPr>
          </w:p>
          <w:p w14:paraId="2C116933" w14:textId="77777777" w:rsidR="00A114C3" w:rsidRPr="002B7EB7" w:rsidRDefault="00A114C3" w:rsidP="002A0B90">
            <w:pPr>
              <w:tabs>
                <w:tab w:val="left" w:pos="5220"/>
              </w:tabs>
              <w:spacing w:line="400" w:lineRule="atLeast"/>
              <w:jc w:val="both"/>
              <w:rPr>
                <w:rFonts w:eastAsia="標楷體"/>
                <w:bCs/>
                <w:color w:val="000000" w:themeColor="text1"/>
                <w:sz w:val="22"/>
              </w:rPr>
            </w:pPr>
          </w:p>
          <w:p w14:paraId="32FD943B" w14:textId="77777777" w:rsidR="00A114C3" w:rsidRPr="002B7EB7" w:rsidRDefault="00A114C3" w:rsidP="002A0B90">
            <w:pPr>
              <w:spacing w:line="400" w:lineRule="atLeast"/>
              <w:jc w:val="both"/>
              <w:rPr>
                <w:rFonts w:eastAsia="標楷體"/>
                <w:bCs/>
                <w:color w:val="000000" w:themeColor="text1"/>
                <w:sz w:val="22"/>
              </w:rPr>
            </w:pPr>
          </w:p>
        </w:tc>
        <w:tc>
          <w:tcPr>
            <w:tcW w:w="1620"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452C78F2" w14:textId="77777777" w:rsidR="00A114C3" w:rsidRPr="002B7EB7" w:rsidRDefault="00A114C3" w:rsidP="002A0B90">
            <w:pPr>
              <w:spacing w:line="400" w:lineRule="atLeast"/>
              <w:jc w:val="both"/>
              <w:rPr>
                <w:rFonts w:eastAsia="標楷體"/>
                <w:bCs/>
                <w:color w:val="000000" w:themeColor="text1"/>
                <w:sz w:val="22"/>
              </w:rPr>
            </w:pPr>
          </w:p>
        </w:tc>
      </w:tr>
    </w:tbl>
    <w:p w14:paraId="71059379" w14:textId="77777777" w:rsidR="00A114C3" w:rsidRPr="002B7EB7" w:rsidRDefault="00A114C3" w:rsidP="00A114C3">
      <w:pPr>
        <w:rPr>
          <w:color w:val="000000" w:themeColor="text1"/>
        </w:rPr>
      </w:pPr>
      <w:r w:rsidRPr="002B7EB7">
        <w:rPr>
          <w:rFonts w:eastAsia="標楷體"/>
          <w:bCs/>
          <w:color w:val="000000" w:themeColor="text1"/>
        </w:rPr>
        <w:lastRenderedPageBreak/>
        <w:t>備註：</w:t>
      </w:r>
      <w:r w:rsidRPr="002B7EB7">
        <w:rPr>
          <w:rFonts w:eastAsia="標楷體"/>
          <w:color w:val="000000" w:themeColor="text1"/>
          <w:szCs w:val="24"/>
        </w:rPr>
        <w:t>申請機構</w:t>
      </w:r>
      <w:r w:rsidRPr="002B7EB7">
        <w:rPr>
          <w:rFonts w:eastAsia="標楷體"/>
          <w:bCs/>
          <w:color w:val="000000" w:themeColor="text1"/>
        </w:rPr>
        <w:t>填報之欄位應由該</w:t>
      </w:r>
      <w:r w:rsidRPr="002B7EB7">
        <w:rPr>
          <w:rFonts w:eastAsia="標楷體"/>
          <w:color w:val="000000" w:themeColor="text1"/>
          <w:szCs w:val="24"/>
        </w:rPr>
        <w:t>申請機構</w:t>
      </w:r>
      <w:r w:rsidRPr="002B7EB7">
        <w:rPr>
          <w:rFonts w:eastAsia="標楷體"/>
          <w:bCs/>
          <w:color w:val="000000" w:themeColor="text1"/>
        </w:rPr>
        <w:t>註明所附文件之索引及說明</w:t>
      </w:r>
    </w:p>
    <w:p w14:paraId="7EBE5FDB" w14:textId="00284797" w:rsidR="00A114C3" w:rsidRPr="00A114C3" w:rsidRDefault="00A114C3" w:rsidP="00A114C3">
      <w:pPr>
        <w:widowControl/>
        <w:rPr>
          <w:rFonts w:hint="eastAsia"/>
          <w:color w:val="000000" w:themeColor="text1"/>
        </w:rPr>
      </w:pPr>
    </w:p>
    <w:sectPr w:rsidR="00A114C3" w:rsidRPr="00A114C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70D4B"/>
    <w:multiLevelType w:val="multilevel"/>
    <w:tmpl w:val="2C227C06"/>
    <w:lvl w:ilvl="0">
      <w:start w:val="2"/>
      <w:numFmt w:val="taiwaneseCountingThousand"/>
      <w:lvlText w:val="%1、"/>
      <w:lvlJc w:val="left"/>
      <w:pPr>
        <w:ind w:left="480" w:hanging="480"/>
      </w:pPr>
      <w:rPr>
        <w:rFonts w:ascii="標楷體" w:eastAsia="標楷體" w:hAnsi="標楷體"/>
        <w:b w:val="0"/>
        <w:i w:val="0"/>
        <w:sz w:val="24"/>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6467A93"/>
    <w:multiLevelType w:val="multilevel"/>
    <w:tmpl w:val="63FC3E42"/>
    <w:lvl w:ilvl="0">
      <w:start w:val="1"/>
      <w:numFmt w:val="taiwaneseCountingThousand"/>
      <w:lvlText w:val="（%1）"/>
      <w:lvlJc w:val="left"/>
      <w:pPr>
        <w:ind w:left="1200" w:hanging="720"/>
      </w:pPr>
      <w:rPr>
        <w:rFonts w:ascii="標楷體" w:eastAsia="標楷體" w:hAnsi="標楷體"/>
        <w:b w:val="0"/>
        <w:i w:val="0"/>
        <w:color w:val="auto"/>
        <w:sz w:val="24"/>
        <w:szCs w:val="24"/>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2485D68"/>
    <w:multiLevelType w:val="multilevel"/>
    <w:tmpl w:val="654C945A"/>
    <w:lvl w:ilvl="0">
      <w:start w:val="1"/>
      <w:numFmt w:val="taiwaneseCountingThousand"/>
      <w:lvlText w:val="（%1）"/>
      <w:lvlJc w:val="left"/>
      <w:pPr>
        <w:ind w:left="1200" w:hanging="720"/>
      </w:pPr>
      <w:rPr>
        <w:rFonts w:ascii="標楷體" w:eastAsia="標楷體" w:hAnsi="標楷體"/>
        <w:b w:val="0"/>
        <w:i w:val="0"/>
        <w:color w:val="auto"/>
        <w:sz w:val="24"/>
        <w:szCs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6C831FA7"/>
    <w:multiLevelType w:val="multilevel"/>
    <w:tmpl w:val="049C1F3E"/>
    <w:lvl w:ilvl="0">
      <w:start w:val="1"/>
      <w:numFmt w:val="taiwaneseCountingThousand"/>
      <w:lvlText w:val="%1、"/>
      <w:lvlJc w:val="left"/>
      <w:pPr>
        <w:ind w:left="480" w:hanging="480"/>
      </w:pPr>
      <w:rPr>
        <w:rFonts w:ascii="標楷體" w:eastAsia="標楷體" w:hAnsi="標楷體"/>
        <w:b w:val="0"/>
        <w:i w:val="0"/>
        <w:sz w:val="24"/>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71493F50"/>
    <w:multiLevelType w:val="multilevel"/>
    <w:tmpl w:val="4E1E3370"/>
    <w:lvl w:ilvl="0">
      <w:start w:val="1"/>
      <w:numFmt w:val="taiwaneseCountingThousand"/>
      <w:lvlText w:val="（%1）"/>
      <w:lvlJc w:val="left"/>
      <w:pPr>
        <w:ind w:left="1200" w:hanging="720"/>
      </w:pPr>
      <w:rPr>
        <w:rFonts w:ascii="標楷體" w:eastAsia="標楷體" w:hAnsi="標楷體"/>
        <w:b w:val="0"/>
        <w:i w:val="0"/>
        <w:strike w:val="0"/>
        <w:dstrike w:val="0"/>
        <w:color w:val="auto"/>
        <w:sz w:val="24"/>
        <w:szCs w:val="24"/>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492332236">
    <w:abstractNumId w:val="3"/>
  </w:num>
  <w:num w:numId="2" w16cid:durableId="1058170712">
    <w:abstractNumId w:val="2"/>
  </w:num>
  <w:num w:numId="3" w16cid:durableId="1694309136">
    <w:abstractNumId w:val="0"/>
  </w:num>
  <w:num w:numId="4" w16cid:durableId="1594851199">
    <w:abstractNumId w:val="4"/>
  </w:num>
  <w:num w:numId="5" w16cid:durableId="211960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4C3"/>
    <w:rsid w:val="00A114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D931"/>
  <w15:chartTrackingRefBased/>
  <w15:docId w15:val="{A829265A-A28C-45CF-BDAB-834AD112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4C3"/>
    <w:pPr>
      <w:widowControl w:val="0"/>
    </w:pPr>
    <w:rPr>
      <w:rFonts w:ascii="Calibri" w:eastAsia="新細明體" w:hAnsi="Calibri" w:cs="Times New Roma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陳家羽</dc:creator>
  <cp:keywords/>
  <dc:description/>
  <cp:lastModifiedBy>陳家羽</cp:lastModifiedBy>
  <cp:revision>1</cp:revision>
  <dcterms:created xsi:type="dcterms:W3CDTF">2023-12-15T00:27:00Z</dcterms:created>
  <dcterms:modified xsi:type="dcterms:W3CDTF">2023-12-15T00:28:00Z</dcterms:modified>
</cp:coreProperties>
</file>